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400BB0" w:rsidRPr="004270E3">
        <w:tc>
          <w:tcPr>
            <w:tcW w:w="4786" w:type="dxa"/>
          </w:tcPr>
          <w:p w:rsidR="00E947CF" w:rsidRPr="004270E3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E947CF" w:rsidRPr="004270E3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25" w:type="dxa"/>
          </w:tcPr>
          <w:p w:rsidR="00E947CF" w:rsidRPr="004270E3" w:rsidRDefault="00E947CF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4820" w:type="dxa"/>
          </w:tcPr>
          <w:p w:rsidR="00F87CF9" w:rsidRPr="009903EE" w:rsidRDefault="00E947CF" w:rsidP="00884AB8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bookmarkStart w:id="0" w:name="_Toc67038507"/>
            <w:bookmarkStart w:id="1" w:name="_Toc67038620"/>
            <w:r w:rsidRPr="009903EE">
              <w:rPr>
                <w:b/>
                <w:bCs/>
              </w:rPr>
              <w:t>Утвержден</w:t>
            </w:r>
            <w:bookmarkEnd w:id="0"/>
            <w:bookmarkEnd w:id="1"/>
            <w:r w:rsidRPr="009903EE">
              <w:rPr>
                <w:b/>
                <w:bCs/>
              </w:rPr>
              <w:t xml:space="preserve"> </w:t>
            </w:r>
          </w:p>
          <w:p w:rsidR="00F87CF9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2" w:name="_Toc67038508"/>
            <w:bookmarkStart w:id="3" w:name="_Toc67038621"/>
            <w:r w:rsidRPr="004270E3">
              <w:rPr>
                <w:bCs/>
              </w:rPr>
              <w:t xml:space="preserve">решением общего собрания </w:t>
            </w:r>
            <w:r w:rsidR="005F7D25">
              <w:rPr>
                <w:bCs/>
              </w:rPr>
              <w:t>участников</w:t>
            </w:r>
            <w:r w:rsidRPr="004270E3">
              <w:rPr>
                <w:bCs/>
              </w:rPr>
              <w:t xml:space="preserve"> </w:t>
            </w:r>
            <w:r w:rsidR="005F7D25">
              <w:rPr>
                <w:bCs/>
              </w:rPr>
              <w:t>О</w:t>
            </w:r>
            <w:r w:rsidR="005F7D25" w:rsidRPr="004270E3">
              <w:rPr>
                <w:bCs/>
              </w:rPr>
              <w:t>бществ</w:t>
            </w:r>
            <w:r w:rsidR="00CD3DF7">
              <w:rPr>
                <w:bCs/>
              </w:rPr>
              <w:t>а</w:t>
            </w:r>
            <w:r w:rsidR="005F7D25">
              <w:rPr>
                <w:bCs/>
              </w:rPr>
              <w:t xml:space="preserve"> с ограниченной ответственностью</w:t>
            </w:r>
            <w:r w:rsidR="005F7D25" w:rsidRPr="004270E3">
              <w:rPr>
                <w:bCs/>
              </w:rPr>
              <w:t xml:space="preserve"> «</w:t>
            </w:r>
            <w:r w:rsidR="005F7D25">
              <w:rPr>
                <w:bCs/>
              </w:rPr>
              <w:t>Недвижимость пенсионного фонда</w:t>
            </w:r>
            <w:r w:rsidR="005F7D25" w:rsidRPr="004270E3">
              <w:rPr>
                <w:bCs/>
              </w:rPr>
              <w:t>»</w:t>
            </w:r>
            <w:bookmarkEnd w:id="2"/>
            <w:bookmarkEnd w:id="3"/>
          </w:p>
          <w:p w:rsidR="00E947CF" w:rsidRPr="004270E3" w:rsidRDefault="001D17E7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4" w:name="_Toc67038509"/>
            <w:bookmarkStart w:id="5" w:name="_Toc67038622"/>
            <w:r>
              <w:rPr>
                <w:bCs/>
              </w:rPr>
              <w:t xml:space="preserve">Протокол </w:t>
            </w:r>
            <w:r w:rsidR="00E947CF" w:rsidRPr="004270E3">
              <w:rPr>
                <w:bCs/>
              </w:rPr>
              <w:t xml:space="preserve">№ </w:t>
            </w:r>
            <w:r>
              <w:rPr>
                <w:bCs/>
              </w:rPr>
              <w:t>б</w:t>
            </w:r>
            <w:r w:rsidR="0054242A">
              <w:rPr>
                <w:bCs/>
              </w:rPr>
              <w:t xml:space="preserve">/н </w:t>
            </w:r>
            <w:r w:rsidR="00E947CF" w:rsidRPr="000C15E9">
              <w:rPr>
                <w:bCs/>
              </w:rPr>
              <w:t>от «</w:t>
            </w:r>
            <w:r w:rsidR="00195897">
              <w:rPr>
                <w:bCs/>
              </w:rPr>
              <w:t>15</w:t>
            </w:r>
            <w:r w:rsidR="00E947CF" w:rsidRPr="000C15E9">
              <w:rPr>
                <w:bCs/>
              </w:rPr>
              <w:t xml:space="preserve">» </w:t>
            </w:r>
            <w:r w:rsidR="00195897">
              <w:rPr>
                <w:bCs/>
              </w:rPr>
              <w:t>апреля</w:t>
            </w:r>
            <w:bookmarkStart w:id="6" w:name="_GoBack"/>
            <w:bookmarkEnd w:id="6"/>
            <w:r w:rsidR="00CE01D7" w:rsidRPr="000C15E9">
              <w:rPr>
                <w:bCs/>
              </w:rPr>
              <w:t xml:space="preserve"> </w:t>
            </w:r>
            <w:r w:rsidR="00E947CF" w:rsidRPr="00635BC8">
              <w:rPr>
                <w:bCs/>
              </w:rPr>
              <w:t>20</w:t>
            </w:r>
            <w:r w:rsidR="00273237">
              <w:rPr>
                <w:bCs/>
              </w:rPr>
              <w:t>2</w:t>
            </w:r>
            <w:r w:rsidR="00B07824">
              <w:rPr>
                <w:bCs/>
              </w:rPr>
              <w:t>2</w:t>
            </w:r>
            <w:r w:rsidR="00E947CF" w:rsidRPr="00635BC8">
              <w:rPr>
                <w:bCs/>
              </w:rPr>
              <w:t xml:space="preserve"> г</w:t>
            </w:r>
            <w:r w:rsidR="00193755" w:rsidRPr="00635BC8">
              <w:rPr>
                <w:bCs/>
              </w:rPr>
              <w:t>.</w:t>
            </w:r>
            <w:bookmarkEnd w:id="4"/>
            <w:bookmarkEnd w:id="5"/>
          </w:p>
          <w:p w:rsidR="00E947CF" w:rsidRPr="004270E3" w:rsidRDefault="00E947CF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163A3" w:rsidRPr="004270E3" w:rsidRDefault="003163A3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84BDA" w:rsidRPr="00F87CF9" w:rsidRDefault="00384BDA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384BDA" w:rsidRPr="00F87CF9" w:rsidRDefault="00384BDA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384BDA" w:rsidRPr="00F87CF9" w:rsidRDefault="00384BDA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9903EE" w:rsidRDefault="009903EE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9903EE" w:rsidRDefault="009903EE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</w:p>
    <w:p w:rsidR="000F4D74" w:rsidRPr="004E4BAF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40"/>
          <w:szCs w:val="40"/>
        </w:rPr>
      </w:pPr>
      <w:bookmarkStart w:id="7" w:name="_Toc67038510"/>
      <w:bookmarkStart w:id="8" w:name="_Toc67038623"/>
      <w:r w:rsidRPr="004E4BAF">
        <w:rPr>
          <w:b/>
          <w:bCs/>
          <w:sz w:val="40"/>
          <w:szCs w:val="40"/>
        </w:rPr>
        <w:t>ГОДОВОЙ ОТЧЕТ</w:t>
      </w:r>
      <w:bookmarkEnd w:id="7"/>
      <w:bookmarkEnd w:id="8"/>
    </w:p>
    <w:p w:rsidR="000F4D74" w:rsidRPr="004E4BAF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622D5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_Toc67038511"/>
      <w:bookmarkStart w:id="10" w:name="_Toc67038624"/>
      <w:r w:rsidRPr="001622D5">
        <w:rPr>
          <w:b/>
          <w:bCs/>
          <w:sz w:val="28"/>
          <w:szCs w:val="28"/>
        </w:rPr>
        <w:t>ОБЩЕСТВ</w:t>
      </w:r>
      <w:r w:rsidR="008B6CB7" w:rsidRPr="001622D5">
        <w:rPr>
          <w:b/>
          <w:bCs/>
          <w:sz w:val="28"/>
          <w:szCs w:val="28"/>
        </w:rPr>
        <w:t>О С ОГРАНИЧЕННОЙ ОТВЕТСТВЕННОСТЬЮ</w:t>
      </w:r>
      <w:bookmarkEnd w:id="9"/>
      <w:bookmarkEnd w:id="10"/>
      <w:r w:rsidRPr="001622D5">
        <w:rPr>
          <w:b/>
          <w:bCs/>
          <w:sz w:val="28"/>
          <w:szCs w:val="28"/>
        </w:rPr>
        <w:t xml:space="preserve"> </w:t>
      </w:r>
    </w:p>
    <w:p w:rsidR="000F4D74" w:rsidRPr="001622D5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1" w:name="_Toc67038512"/>
      <w:bookmarkStart w:id="12" w:name="_Toc67038625"/>
      <w:r w:rsidRPr="001622D5">
        <w:rPr>
          <w:b/>
          <w:bCs/>
          <w:sz w:val="28"/>
          <w:szCs w:val="28"/>
        </w:rPr>
        <w:t>«</w:t>
      </w:r>
      <w:r w:rsidR="008B6CB7" w:rsidRPr="001622D5">
        <w:rPr>
          <w:b/>
          <w:bCs/>
          <w:sz w:val="28"/>
          <w:szCs w:val="28"/>
        </w:rPr>
        <w:t>НЕДВИЖИМОСТЬ ПЕНСИОННОГО ФОНДА</w:t>
      </w:r>
      <w:r w:rsidRPr="001622D5">
        <w:rPr>
          <w:b/>
          <w:bCs/>
          <w:sz w:val="28"/>
          <w:szCs w:val="28"/>
        </w:rPr>
        <w:t>»</w:t>
      </w:r>
      <w:bookmarkEnd w:id="11"/>
      <w:bookmarkEnd w:id="12"/>
    </w:p>
    <w:p w:rsidR="003163A3" w:rsidRPr="001622D5" w:rsidRDefault="003163A3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163A3" w:rsidRPr="001622D5" w:rsidRDefault="008647E7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3" w:name="_Toc67038513"/>
      <w:bookmarkStart w:id="14" w:name="_Toc67038626"/>
      <w:r w:rsidRPr="001622D5">
        <w:rPr>
          <w:b/>
          <w:bCs/>
          <w:sz w:val="28"/>
          <w:szCs w:val="28"/>
        </w:rPr>
        <w:t>ЗА 20</w:t>
      </w:r>
      <w:r w:rsidR="002808BD">
        <w:rPr>
          <w:b/>
          <w:bCs/>
          <w:sz w:val="28"/>
          <w:szCs w:val="28"/>
        </w:rPr>
        <w:t>2</w:t>
      </w:r>
      <w:r w:rsidR="00B07824">
        <w:rPr>
          <w:b/>
          <w:bCs/>
          <w:sz w:val="28"/>
          <w:szCs w:val="28"/>
        </w:rPr>
        <w:t>1</w:t>
      </w:r>
      <w:r w:rsidR="003163A3" w:rsidRPr="001622D5">
        <w:rPr>
          <w:b/>
          <w:bCs/>
          <w:sz w:val="28"/>
          <w:szCs w:val="28"/>
        </w:rPr>
        <w:t xml:space="preserve"> ГОД</w:t>
      </w:r>
      <w:bookmarkEnd w:id="13"/>
      <w:bookmarkEnd w:id="14"/>
    </w:p>
    <w:p w:rsidR="000F4D74" w:rsidRPr="004E7250" w:rsidRDefault="000F4D74" w:rsidP="00884A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00BB0" w:rsidRPr="004270E3" w:rsidRDefault="00400BB0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84BDA" w:rsidRPr="00843B94" w:rsidRDefault="00384BDA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84BDA" w:rsidRPr="00843B94" w:rsidRDefault="00384BDA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84BDA" w:rsidRPr="00843B94" w:rsidRDefault="00384BDA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400BB0" w:rsidRPr="007B279E" w:rsidRDefault="00400BB0" w:rsidP="00884AB8">
      <w:pPr>
        <w:autoSpaceDE w:val="0"/>
        <w:autoSpaceDN w:val="0"/>
        <w:adjustRightInd w:val="0"/>
        <w:jc w:val="both"/>
        <w:outlineLvl w:val="0"/>
        <w:rPr>
          <w:bCs/>
        </w:rPr>
      </w:pPr>
      <w:bookmarkStart w:id="15" w:name="_Toc67038514"/>
      <w:bookmarkStart w:id="16" w:name="_Toc67038627"/>
      <w:r w:rsidRPr="004270E3">
        <w:rPr>
          <w:bCs/>
        </w:rPr>
        <w:t xml:space="preserve">Место нахождение: </w:t>
      </w:r>
      <w:r w:rsidR="00F87CF9">
        <w:rPr>
          <w:bCs/>
        </w:rPr>
        <w:t xml:space="preserve">620075, </w:t>
      </w:r>
      <w:r w:rsidR="0019154A" w:rsidRPr="0019154A">
        <w:rPr>
          <w:bCs/>
        </w:rPr>
        <w:t>Свердловская область, г</w:t>
      </w:r>
      <w:r w:rsidR="00D310ED">
        <w:rPr>
          <w:bCs/>
        </w:rPr>
        <w:t>.</w:t>
      </w:r>
      <w:r w:rsidR="0019154A" w:rsidRPr="0019154A">
        <w:rPr>
          <w:bCs/>
        </w:rPr>
        <w:t xml:space="preserve"> Екатеринбург, </w:t>
      </w:r>
      <w:r w:rsidR="00D310ED">
        <w:rPr>
          <w:bCs/>
        </w:rPr>
        <w:t xml:space="preserve">ул. </w:t>
      </w:r>
      <w:r w:rsidR="00F87CF9">
        <w:rPr>
          <w:bCs/>
        </w:rPr>
        <w:t>Первомайская, 15</w:t>
      </w:r>
      <w:bookmarkEnd w:id="15"/>
      <w:bookmarkEnd w:id="16"/>
    </w:p>
    <w:p w:rsidR="00400BB0" w:rsidRPr="004270E3" w:rsidRDefault="00400BB0" w:rsidP="00884AB8">
      <w:pPr>
        <w:autoSpaceDE w:val="0"/>
        <w:autoSpaceDN w:val="0"/>
        <w:adjustRightInd w:val="0"/>
        <w:jc w:val="both"/>
        <w:outlineLvl w:val="0"/>
        <w:rPr>
          <w:bCs/>
        </w:rPr>
      </w:pPr>
      <w:bookmarkStart w:id="17" w:name="_Toc67038515"/>
      <w:bookmarkStart w:id="18" w:name="_Toc67038628"/>
      <w:r w:rsidRPr="004270E3">
        <w:rPr>
          <w:bCs/>
          <w:iCs/>
        </w:rPr>
        <w:t>Контактный телефон: (34368) 96</w:t>
      </w:r>
      <w:r w:rsidR="003A4175">
        <w:rPr>
          <w:bCs/>
          <w:iCs/>
        </w:rPr>
        <w:t>-</w:t>
      </w:r>
      <w:r w:rsidR="001A4581">
        <w:rPr>
          <w:bCs/>
          <w:iCs/>
        </w:rPr>
        <w:t>774</w:t>
      </w:r>
      <w:bookmarkEnd w:id="17"/>
      <w:bookmarkEnd w:id="18"/>
    </w:p>
    <w:p w:rsidR="00400BB0" w:rsidRPr="00D310ED" w:rsidRDefault="00400BB0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84BDA" w:rsidRPr="00D310ED" w:rsidRDefault="00384B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84BDA" w:rsidRPr="00D310ED" w:rsidRDefault="00384BDA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361"/>
        <w:gridCol w:w="2268"/>
        <w:gridCol w:w="3379"/>
      </w:tblGrid>
      <w:tr w:rsidR="00400BB0" w:rsidRPr="004270E3">
        <w:tc>
          <w:tcPr>
            <w:tcW w:w="4361" w:type="dxa"/>
          </w:tcPr>
          <w:p w:rsidR="009630A3" w:rsidRPr="004270E3" w:rsidRDefault="009630A3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0F4D74" w:rsidRPr="004270E3" w:rsidRDefault="00CF499D" w:rsidP="00CF499D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19" w:name="_Toc67038516"/>
            <w:bookmarkStart w:id="20" w:name="_Toc67038629"/>
            <w:r w:rsidRPr="004270E3">
              <w:rPr>
                <w:bCs/>
              </w:rPr>
              <w:t>Д</w:t>
            </w:r>
            <w:r w:rsidR="000F4D74" w:rsidRPr="004270E3">
              <w:rPr>
                <w:bCs/>
              </w:rPr>
              <w:t>иректор</w:t>
            </w:r>
            <w:r>
              <w:rPr>
                <w:bCs/>
              </w:rPr>
              <w:t xml:space="preserve"> </w:t>
            </w:r>
            <w:r w:rsidR="007B279E">
              <w:rPr>
                <w:bCs/>
              </w:rPr>
              <w:t>Общества с ограниченной ответственностью</w:t>
            </w:r>
            <w:r w:rsidR="000F4D74" w:rsidRPr="004270E3">
              <w:rPr>
                <w:bCs/>
              </w:rPr>
              <w:t xml:space="preserve"> «</w:t>
            </w:r>
            <w:r w:rsidR="007B279E">
              <w:rPr>
                <w:bCs/>
              </w:rPr>
              <w:t>Недвижимость пенсионного фонда</w:t>
            </w:r>
            <w:r w:rsidR="000F4D74" w:rsidRPr="004270E3">
              <w:rPr>
                <w:bCs/>
              </w:rPr>
              <w:t>»</w:t>
            </w:r>
            <w:bookmarkEnd w:id="19"/>
            <w:bookmarkEnd w:id="2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379" w:type="dxa"/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0F4D74" w:rsidRPr="004270E3" w:rsidRDefault="00C94940" w:rsidP="00C949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bookmarkStart w:id="21" w:name="_Toc67038517"/>
            <w:bookmarkStart w:id="22" w:name="_Toc67038630"/>
            <w:r>
              <w:rPr>
                <w:bCs/>
                <w:sz w:val="22"/>
                <w:szCs w:val="22"/>
              </w:rPr>
              <w:t>А</w:t>
            </w:r>
            <w:r w:rsidR="007B279E">
              <w:rPr>
                <w:bCs/>
                <w:sz w:val="22"/>
                <w:szCs w:val="22"/>
              </w:rPr>
              <w:t xml:space="preserve">.Н. </w:t>
            </w:r>
            <w:r>
              <w:rPr>
                <w:bCs/>
                <w:sz w:val="22"/>
                <w:szCs w:val="22"/>
              </w:rPr>
              <w:t>Васькин</w:t>
            </w:r>
            <w:bookmarkEnd w:id="21"/>
            <w:bookmarkEnd w:id="22"/>
            <w:r w:rsidR="00C44E2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00BB0" w:rsidRPr="004270E3">
        <w:tc>
          <w:tcPr>
            <w:tcW w:w="4361" w:type="dxa"/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4D74" w:rsidRPr="00877021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bookmarkStart w:id="23" w:name="_Toc67038518"/>
            <w:bookmarkStart w:id="24" w:name="_Toc67038631"/>
            <w:r w:rsidRPr="00877021">
              <w:rPr>
                <w:bCs/>
                <w:sz w:val="18"/>
                <w:szCs w:val="18"/>
              </w:rPr>
              <w:t>подпись</w:t>
            </w:r>
            <w:bookmarkEnd w:id="23"/>
            <w:bookmarkEnd w:id="24"/>
          </w:p>
        </w:tc>
        <w:tc>
          <w:tcPr>
            <w:tcW w:w="3379" w:type="dxa"/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400BB0" w:rsidRPr="004270E3">
        <w:tc>
          <w:tcPr>
            <w:tcW w:w="4361" w:type="dxa"/>
          </w:tcPr>
          <w:p w:rsidR="003163A3" w:rsidRPr="004270E3" w:rsidRDefault="003163A3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0F4D74" w:rsidRPr="004270E3" w:rsidRDefault="000F4D74" w:rsidP="00884AB8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25" w:name="_Toc67038519"/>
            <w:bookmarkStart w:id="26" w:name="_Toc67038632"/>
            <w:r w:rsidRPr="004270E3">
              <w:rPr>
                <w:bCs/>
              </w:rPr>
              <w:t xml:space="preserve">Главный бухгалтер </w:t>
            </w:r>
            <w:r w:rsidR="007B279E">
              <w:rPr>
                <w:bCs/>
              </w:rPr>
              <w:t>Общества с ограниченной ответственностью</w:t>
            </w:r>
            <w:r w:rsidR="007B279E" w:rsidRPr="004270E3">
              <w:rPr>
                <w:bCs/>
              </w:rPr>
              <w:t xml:space="preserve"> «</w:t>
            </w:r>
            <w:r w:rsidR="007B279E">
              <w:rPr>
                <w:bCs/>
              </w:rPr>
              <w:t>Недвижимость пенсионного фонда</w:t>
            </w:r>
            <w:r w:rsidR="007B279E" w:rsidRPr="004270E3">
              <w:rPr>
                <w:bCs/>
              </w:rPr>
              <w:t>»</w:t>
            </w:r>
            <w:bookmarkEnd w:id="25"/>
            <w:bookmarkEnd w:id="26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3379" w:type="dxa"/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0F4D74" w:rsidRPr="004270E3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0F4D74" w:rsidRPr="004270E3" w:rsidRDefault="00C94940" w:rsidP="00C949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bookmarkStart w:id="27" w:name="_Toc67038520"/>
            <w:bookmarkStart w:id="28" w:name="_Toc67038633"/>
            <w:r>
              <w:rPr>
                <w:bCs/>
                <w:sz w:val="22"/>
                <w:szCs w:val="22"/>
              </w:rPr>
              <w:t>А</w:t>
            </w:r>
            <w:r w:rsidR="006B4C29">
              <w:rPr>
                <w:bCs/>
                <w:sz w:val="22"/>
                <w:szCs w:val="22"/>
              </w:rPr>
              <w:t xml:space="preserve">.Н. </w:t>
            </w:r>
            <w:r>
              <w:rPr>
                <w:bCs/>
                <w:sz w:val="22"/>
                <w:szCs w:val="22"/>
              </w:rPr>
              <w:t>Васькин</w:t>
            </w:r>
            <w:bookmarkEnd w:id="27"/>
            <w:bookmarkEnd w:id="28"/>
          </w:p>
        </w:tc>
      </w:tr>
      <w:tr w:rsidR="00400BB0" w:rsidRPr="004270E3">
        <w:tc>
          <w:tcPr>
            <w:tcW w:w="4361" w:type="dxa"/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4D74" w:rsidRPr="00877021" w:rsidRDefault="000F4D74" w:rsidP="00884AB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</w:rPr>
            </w:pPr>
            <w:bookmarkStart w:id="29" w:name="_Toc67038521"/>
            <w:bookmarkStart w:id="30" w:name="_Toc67038634"/>
            <w:r w:rsidRPr="00877021">
              <w:rPr>
                <w:bCs/>
                <w:sz w:val="18"/>
                <w:szCs w:val="18"/>
              </w:rPr>
              <w:t>подпись</w:t>
            </w:r>
            <w:bookmarkEnd w:id="29"/>
            <w:bookmarkEnd w:id="30"/>
          </w:p>
        </w:tc>
        <w:tc>
          <w:tcPr>
            <w:tcW w:w="3379" w:type="dxa"/>
          </w:tcPr>
          <w:p w:rsidR="000F4D74" w:rsidRPr="004270E3" w:rsidRDefault="000F4D74" w:rsidP="00884AB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0F4D74" w:rsidRPr="004270E3" w:rsidRDefault="000F4D74" w:rsidP="00884AB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947CF" w:rsidRPr="004270E3" w:rsidRDefault="00E947CF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24833" w:rsidRPr="004270E3" w:rsidRDefault="00D24833" w:rsidP="00884AB8">
      <w:pPr>
        <w:autoSpaceDE w:val="0"/>
        <w:autoSpaceDN w:val="0"/>
        <w:adjustRightInd w:val="0"/>
        <w:jc w:val="both"/>
      </w:pPr>
    </w:p>
    <w:p w:rsidR="003163A3" w:rsidRDefault="003163A3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92254" w:rsidRPr="004270E3" w:rsidRDefault="00892254" w:rsidP="00884AB8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903EE" w:rsidRDefault="009903EE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163A3" w:rsidRPr="004270E3" w:rsidRDefault="00F87CF9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  <w:bookmarkStart w:id="31" w:name="_Toc67038522"/>
      <w:bookmarkStart w:id="32" w:name="_Toc67038635"/>
      <w:r>
        <w:rPr>
          <w:bCs/>
        </w:rPr>
        <w:t>г.</w:t>
      </w:r>
      <w:r w:rsidR="003163A3" w:rsidRPr="004270E3">
        <w:rPr>
          <w:bCs/>
        </w:rPr>
        <w:t xml:space="preserve"> </w:t>
      </w:r>
      <w:r w:rsidR="001004A7">
        <w:rPr>
          <w:bCs/>
        </w:rPr>
        <w:t>Екатеринбург</w:t>
      </w:r>
      <w:bookmarkEnd w:id="31"/>
      <w:bookmarkEnd w:id="32"/>
    </w:p>
    <w:p w:rsidR="006C73D2" w:rsidRDefault="00400BB0" w:rsidP="00884AB8">
      <w:pPr>
        <w:autoSpaceDE w:val="0"/>
        <w:autoSpaceDN w:val="0"/>
        <w:adjustRightInd w:val="0"/>
        <w:jc w:val="center"/>
        <w:outlineLvl w:val="0"/>
        <w:rPr>
          <w:bCs/>
        </w:rPr>
        <w:sectPr w:rsidR="006C73D2" w:rsidSect="004051C3">
          <w:footerReference w:type="default" r:id="rId8"/>
          <w:pgSz w:w="11904" w:h="16836"/>
          <w:pgMar w:top="680" w:right="851" w:bottom="567" w:left="1134" w:header="454" w:footer="454" w:gutter="0"/>
          <w:cols w:space="720"/>
          <w:noEndnote/>
          <w:docGrid w:linePitch="326"/>
        </w:sectPr>
      </w:pPr>
      <w:bookmarkStart w:id="33" w:name="_Toc67038523"/>
      <w:bookmarkStart w:id="34" w:name="_Toc67038636"/>
      <w:r w:rsidRPr="004270E3">
        <w:rPr>
          <w:bCs/>
        </w:rPr>
        <w:t>20</w:t>
      </w:r>
      <w:r w:rsidR="00273237">
        <w:rPr>
          <w:bCs/>
        </w:rPr>
        <w:t>2</w:t>
      </w:r>
      <w:r w:rsidR="00B07824">
        <w:rPr>
          <w:bCs/>
        </w:rPr>
        <w:t>2</w:t>
      </w:r>
      <w:r w:rsidRPr="004270E3">
        <w:rPr>
          <w:bCs/>
        </w:rPr>
        <w:t xml:space="preserve"> г</w:t>
      </w:r>
      <w:r w:rsidR="00D310ED">
        <w:rPr>
          <w:bCs/>
        </w:rPr>
        <w:t>.</w:t>
      </w:r>
      <w:bookmarkEnd w:id="33"/>
      <w:bookmarkEnd w:id="34"/>
    </w:p>
    <w:p w:rsidR="003942F5" w:rsidRPr="000C0018" w:rsidRDefault="003942F5">
      <w:pPr>
        <w:pStyle w:val="afc"/>
        <w:rPr>
          <w:rFonts w:ascii="Times New Roman" w:hAnsi="Times New Roman"/>
          <w:color w:val="auto"/>
        </w:rPr>
      </w:pPr>
      <w:r w:rsidRPr="000C0018">
        <w:rPr>
          <w:rFonts w:ascii="Times New Roman" w:hAnsi="Times New Roman"/>
          <w:color w:val="auto"/>
        </w:rPr>
        <w:lastRenderedPageBreak/>
        <w:t>Оглавление</w:t>
      </w:r>
    </w:p>
    <w:p w:rsidR="003942F5" w:rsidRPr="003942F5" w:rsidRDefault="003942F5" w:rsidP="003B1AA6">
      <w:pPr>
        <w:pStyle w:val="11"/>
        <w:rPr>
          <w:rFonts w:ascii="Calibri" w:hAnsi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3942F5" w:rsidRPr="003942F5" w:rsidRDefault="00D469A0" w:rsidP="00437F63">
      <w:pPr>
        <w:pStyle w:val="23"/>
        <w:tabs>
          <w:tab w:val="left" w:pos="660"/>
          <w:tab w:val="right" w:leader="dot" w:pos="9909"/>
        </w:tabs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37" w:history="1">
        <w:r w:rsidR="003942F5" w:rsidRPr="005C0DC5">
          <w:rPr>
            <w:rStyle w:val="af3"/>
            <w:noProof/>
          </w:rPr>
          <w:t>1.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Сведения о положении общества в отрасли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_Toc67038637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3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1" w:history="1">
        <w:r w:rsidR="003942F5" w:rsidRPr="005C0DC5">
          <w:rPr>
            <w:rStyle w:val="af3"/>
            <w:noProof/>
          </w:rPr>
          <w:t>2.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Приоритетные направления деятельности общества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_Toc67038641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4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2" w:history="1">
        <w:r w:rsidR="003942F5" w:rsidRPr="005C0DC5">
          <w:rPr>
            <w:rStyle w:val="af3"/>
            <w:noProof/>
          </w:rPr>
          <w:t>3.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Отчет совета директоров (наблюдательного совета) общества о результатах развития общества по приоритетным направлениям его деятельности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_Toc67038642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5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3" w:history="1">
        <w:r w:rsidR="003942F5" w:rsidRPr="005C0DC5">
          <w:rPr>
            <w:rStyle w:val="af3"/>
            <w:noProof/>
          </w:rPr>
          <w:t>4.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Информация об объеме каждого из использованных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_Toc67038643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6</w:t>
        </w:r>
        <w:r w:rsidR="003942F5">
          <w:rPr>
            <w:noProof/>
            <w:webHidden/>
          </w:rPr>
          <w:fldChar w:fldCharType="end"/>
        </w:r>
      </w:hyperlink>
    </w:p>
    <w:p w:rsidR="003942F5" w:rsidRDefault="00D469A0" w:rsidP="003B1AA6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Style w:val="af3"/>
          <w:noProof/>
        </w:rPr>
      </w:pPr>
      <w:hyperlink w:anchor="_Toc67038644" w:history="1">
        <w:r w:rsidR="003942F5" w:rsidRPr="005C0DC5">
          <w:rPr>
            <w:rStyle w:val="af3"/>
            <w:noProof/>
          </w:rPr>
          <w:t>5.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Перспективы развития общества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_Toc67038644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6</w:t>
        </w:r>
        <w:r w:rsidR="003942F5">
          <w:rPr>
            <w:noProof/>
            <w:webHidden/>
          </w:rPr>
          <w:fldChar w:fldCharType="end"/>
        </w:r>
      </w:hyperlink>
    </w:p>
    <w:p w:rsidR="007234DC" w:rsidRPr="000C0018" w:rsidRDefault="007234DC" w:rsidP="003B1AA6">
      <w:pPr>
        <w:pStyle w:val="11"/>
        <w:rPr>
          <w:noProof/>
          <w:lang w:eastAsia="ru-RU"/>
        </w:rPr>
      </w:pPr>
    </w:p>
    <w:p w:rsidR="007234DC" w:rsidRPr="000C0018" w:rsidRDefault="000C0018" w:rsidP="003B1AA6">
      <w:pPr>
        <w:pStyle w:val="11"/>
        <w:tabs>
          <w:tab w:val="left" w:pos="658"/>
        </w:tabs>
        <w:rPr>
          <w:noProof/>
          <w:lang w:eastAsia="ru-RU"/>
        </w:rPr>
      </w:pPr>
      <w:r>
        <w:rPr>
          <w:noProof/>
          <w:lang w:eastAsia="ru-RU"/>
        </w:rPr>
        <w:t xml:space="preserve">6. </w:t>
      </w:r>
      <w:r w:rsidR="003B1AA6">
        <w:rPr>
          <w:noProof/>
          <w:lang w:eastAsia="ru-RU"/>
        </w:rPr>
        <w:t xml:space="preserve">  </w:t>
      </w:r>
      <w:r w:rsidR="007234DC" w:rsidRPr="000C0018">
        <w:rPr>
          <w:noProof/>
          <w:lang w:eastAsia="ru-RU"/>
        </w:rPr>
        <w:t>Выплата прибыли участникам</w:t>
      </w:r>
      <w:r>
        <w:rPr>
          <w:noProof/>
          <w:lang w:eastAsia="ru-RU"/>
        </w:rPr>
        <w:tab/>
        <w:t>6</w:t>
      </w:r>
    </w:p>
    <w:p w:rsidR="003942F5" w:rsidRPr="002110F4" w:rsidRDefault="00D469A0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Style w:val="af3"/>
        </w:rPr>
      </w:pPr>
      <w:hyperlink w:anchor="_Toc67038646" w:history="1">
        <w:r w:rsidR="002110F4">
          <w:rPr>
            <w:rStyle w:val="af3"/>
            <w:noProof/>
          </w:rPr>
          <w:t>7</w:t>
        </w:r>
        <w:r w:rsidR="003942F5" w:rsidRPr="005C0DC5">
          <w:rPr>
            <w:rStyle w:val="af3"/>
            <w:noProof/>
          </w:rPr>
          <w:t>.</w:t>
        </w:r>
        <w:r w:rsidR="003942F5" w:rsidRPr="002110F4">
          <w:rPr>
            <w:rStyle w:val="af3"/>
          </w:rPr>
          <w:tab/>
        </w:r>
        <w:r w:rsidR="003942F5" w:rsidRPr="005C0DC5">
          <w:rPr>
            <w:rStyle w:val="af3"/>
            <w:noProof/>
          </w:rPr>
          <w:t>Описание основных факторов риска, связанных с деятельностью общества</w:t>
        </w:r>
        <w:r w:rsidR="003942F5" w:rsidRPr="002110F4">
          <w:rPr>
            <w:rStyle w:val="af3"/>
            <w:webHidden/>
          </w:rPr>
          <w:tab/>
        </w:r>
        <w:r w:rsidR="003942F5" w:rsidRPr="002110F4">
          <w:rPr>
            <w:rStyle w:val="af3"/>
            <w:webHidden/>
          </w:rPr>
          <w:fldChar w:fldCharType="begin"/>
        </w:r>
        <w:r w:rsidR="003942F5" w:rsidRPr="002110F4">
          <w:rPr>
            <w:rStyle w:val="af3"/>
            <w:webHidden/>
          </w:rPr>
          <w:instrText xml:space="preserve"> PAGEREF _Toc67038646 \h </w:instrText>
        </w:r>
        <w:r w:rsidR="003942F5" w:rsidRPr="002110F4">
          <w:rPr>
            <w:rStyle w:val="af3"/>
            <w:webHidden/>
          </w:rPr>
        </w:r>
        <w:r w:rsidR="003942F5" w:rsidRPr="002110F4">
          <w:rPr>
            <w:rStyle w:val="af3"/>
            <w:webHidden/>
          </w:rPr>
          <w:fldChar w:fldCharType="separate"/>
        </w:r>
        <w:r w:rsidR="003942F5" w:rsidRPr="002110F4">
          <w:rPr>
            <w:rStyle w:val="af3"/>
            <w:webHidden/>
          </w:rPr>
          <w:t>6</w:t>
        </w:r>
        <w:r w:rsidR="003942F5" w:rsidRPr="002110F4">
          <w:rPr>
            <w:rStyle w:val="af3"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7" w:history="1">
        <w:r w:rsidR="002110F4">
          <w:rPr>
            <w:rStyle w:val="af3"/>
            <w:noProof/>
          </w:rPr>
          <w:t>8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Перечень совершенных обществом в отчетном году сделок, признаваемых в соответствии с ФЗ "Об обществах с ограниченной ответственностью"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общества, принявшего решение о ее одобрении</w:t>
        </w:r>
        <w:r w:rsidR="00C22D35">
          <w:rPr>
            <w:rStyle w:val="af3"/>
            <w:noProof/>
          </w:rPr>
          <w:tab/>
        </w:r>
        <w:r w:rsidR="00C22D35">
          <w:rPr>
            <w:rStyle w:val="af3"/>
            <w:noProof/>
          </w:rPr>
          <w:tab/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_Toc67038647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8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66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8" w:history="1">
        <w:r w:rsidR="002110F4">
          <w:rPr>
            <w:rStyle w:val="af3"/>
            <w:noProof/>
          </w:rPr>
          <w:t>9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Перечень совершенных обществом в отчетном году сделок, признаваемых в соответствии с ФЗ "Об обществах с ограниченной ответственностью"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общества, принявшего решение о ее одобрении</w:t>
        </w:r>
        <w:r w:rsidR="00E93C2E">
          <w:rPr>
            <w:rStyle w:val="af3"/>
            <w:noProof/>
          </w:rPr>
          <w:tab/>
        </w:r>
        <w:r w:rsidR="00E93C2E">
          <w:rPr>
            <w:rStyle w:val="af3"/>
            <w:noProof/>
          </w:rPr>
          <w:tab/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_Toc67038648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9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88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49" w:history="1">
        <w:r w:rsidR="002110F4">
          <w:rPr>
            <w:rStyle w:val="af3"/>
            <w:noProof/>
          </w:rPr>
          <w:t>10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_Toc67038649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9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88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50" w:history="1">
        <w:r w:rsidR="003942F5" w:rsidRPr="005C0DC5">
          <w:rPr>
            <w:rStyle w:val="af3"/>
            <w:noProof/>
          </w:rPr>
          <w:t>1</w:t>
        </w:r>
        <w:r w:rsidR="002110F4">
          <w:rPr>
            <w:rStyle w:val="af3"/>
            <w:noProof/>
          </w:rPr>
          <w:t>1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Сведения о лице, занимающем должность (осуществляющем функции) единоличного исполнительного органа (управляющем, управляющей организации) общества и членах коллегиального исполнительного органа общества</w:t>
        </w:r>
        <w:r w:rsidR="003942F5">
          <w:rPr>
            <w:noProof/>
            <w:webHidden/>
          </w:rPr>
          <w:tab/>
        </w:r>
        <w:r w:rsidR="003942F5">
          <w:rPr>
            <w:noProof/>
            <w:webHidden/>
          </w:rPr>
          <w:fldChar w:fldCharType="begin"/>
        </w:r>
        <w:r w:rsidR="003942F5">
          <w:rPr>
            <w:noProof/>
            <w:webHidden/>
          </w:rPr>
          <w:instrText xml:space="preserve"> PAGEREF _Toc67038650 \h </w:instrText>
        </w:r>
        <w:r w:rsidR="003942F5">
          <w:rPr>
            <w:noProof/>
            <w:webHidden/>
          </w:rPr>
        </w:r>
        <w:r w:rsidR="003942F5">
          <w:rPr>
            <w:noProof/>
            <w:webHidden/>
          </w:rPr>
          <w:fldChar w:fldCharType="separate"/>
        </w:r>
        <w:r w:rsidR="003942F5">
          <w:rPr>
            <w:noProof/>
            <w:webHidden/>
          </w:rPr>
          <w:t>9</w:t>
        </w:r>
        <w:r w:rsidR="003942F5">
          <w:rPr>
            <w:noProof/>
            <w:webHidden/>
          </w:rPr>
          <w:fldChar w:fldCharType="end"/>
        </w:r>
      </w:hyperlink>
    </w:p>
    <w:p w:rsidR="003942F5" w:rsidRPr="003942F5" w:rsidRDefault="00D469A0" w:rsidP="00437F63">
      <w:pPr>
        <w:pStyle w:val="23"/>
        <w:tabs>
          <w:tab w:val="left" w:pos="880"/>
          <w:tab w:val="right" w:leader="dot" w:pos="9909"/>
        </w:tabs>
        <w:spacing w:before="240"/>
        <w:ind w:left="284"/>
        <w:jc w:val="both"/>
        <w:rPr>
          <w:rFonts w:ascii="Calibri" w:hAnsi="Calibri"/>
          <w:noProof/>
          <w:sz w:val="22"/>
          <w:szCs w:val="22"/>
          <w:lang w:eastAsia="ru-RU"/>
        </w:rPr>
      </w:pPr>
      <w:hyperlink w:anchor="_Toc67038652" w:history="1">
        <w:r w:rsidR="003942F5" w:rsidRPr="005C0DC5">
          <w:rPr>
            <w:rStyle w:val="af3"/>
            <w:noProof/>
          </w:rPr>
          <w:t>1</w:t>
        </w:r>
        <w:r w:rsidR="002110F4">
          <w:rPr>
            <w:rStyle w:val="af3"/>
            <w:noProof/>
          </w:rPr>
          <w:t>2</w:t>
        </w:r>
        <w:r w:rsidR="003942F5" w:rsidRPr="005C0DC5">
          <w:rPr>
            <w:rStyle w:val="af3"/>
            <w:noProof/>
          </w:rPr>
          <w:t>.</w:t>
        </w:r>
        <w:r w:rsidR="003942F5" w:rsidRPr="003942F5">
          <w:rPr>
            <w:rFonts w:ascii="Calibri" w:hAnsi="Calibri"/>
            <w:noProof/>
            <w:sz w:val="22"/>
            <w:szCs w:val="22"/>
            <w:lang w:eastAsia="ru-RU"/>
          </w:rPr>
          <w:tab/>
        </w:r>
        <w:r w:rsidR="003942F5" w:rsidRPr="005C0DC5">
          <w:rPr>
            <w:rStyle w:val="af3"/>
            <w:noProof/>
          </w:rPr>
          <w:t>Сведения о соблюдении акционерным обществом Кодекса корпоративного управления</w:t>
        </w:r>
        <w:r w:rsidR="003942F5">
          <w:rPr>
            <w:noProof/>
            <w:webHidden/>
          </w:rPr>
          <w:tab/>
        </w:r>
      </w:hyperlink>
      <w:r w:rsidR="00CB481D" w:rsidRPr="00CB481D">
        <w:rPr>
          <w:noProof/>
          <w:webHidden/>
        </w:rPr>
        <w:tab/>
      </w:r>
      <w:r w:rsidR="00CB481D">
        <w:rPr>
          <w:noProof/>
          <w:webHidden/>
        </w:rPr>
        <w:tab/>
        <w:t>10</w:t>
      </w:r>
    </w:p>
    <w:p w:rsidR="003942F5" w:rsidRDefault="003942F5" w:rsidP="00437F63">
      <w:pPr>
        <w:tabs>
          <w:tab w:val="right" w:leader="dot" w:pos="9909"/>
        </w:tabs>
        <w:spacing w:before="240"/>
        <w:ind w:left="284"/>
        <w:jc w:val="both"/>
      </w:pPr>
      <w:r>
        <w:rPr>
          <w:b/>
          <w:bCs/>
        </w:rPr>
        <w:fldChar w:fldCharType="end"/>
      </w:r>
    </w:p>
    <w:p w:rsidR="00E93C2E" w:rsidRDefault="00E93C2E" w:rsidP="00884AB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E93C2E" w:rsidRDefault="00E93C2E" w:rsidP="00E93C2E"/>
    <w:p w:rsidR="00E93C2E" w:rsidRDefault="00E93C2E" w:rsidP="00E93C2E">
      <w:pPr>
        <w:tabs>
          <w:tab w:val="left" w:pos="6698"/>
        </w:tabs>
      </w:pPr>
      <w:r>
        <w:tab/>
      </w:r>
    </w:p>
    <w:p w:rsidR="006C73D2" w:rsidRPr="00E93C2E" w:rsidRDefault="00E93C2E" w:rsidP="00E93C2E">
      <w:pPr>
        <w:tabs>
          <w:tab w:val="left" w:pos="6698"/>
        </w:tabs>
        <w:sectPr w:rsidR="006C73D2" w:rsidRPr="00E93C2E" w:rsidSect="004051C3">
          <w:pgSz w:w="11904" w:h="16836"/>
          <w:pgMar w:top="680" w:right="851" w:bottom="567" w:left="1134" w:header="454" w:footer="454" w:gutter="0"/>
          <w:cols w:space="720"/>
          <w:noEndnote/>
          <w:docGrid w:linePitch="326"/>
        </w:sectPr>
      </w:pPr>
      <w:r>
        <w:tab/>
      </w:r>
    </w:p>
    <w:p w:rsidR="009630A3" w:rsidRPr="004270E3" w:rsidRDefault="00F934D3" w:rsidP="00884AB8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35" w:name="_Toc67038524"/>
      <w:bookmarkStart w:id="36" w:name="_Toc67038637"/>
      <w:r>
        <w:rPr>
          <w:color w:val="auto"/>
          <w:sz w:val="24"/>
          <w:szCs w:val="24"/>
          <w:lang w:val="ru-RU"/>
        </w:rPr>
        <w:lastRenderedPageBreak/>
        <w:t xml:space="preserve">Сведения о </w:t>
      </w:r>
      <w:r w:rsidRPr="004270E3">
        <w:rPr>
          <w:color w:val="auto"/>
          <w:sz w:val="24"/>
          <w:szCs w:val="24"/>
        </w:rPr>
        <w:t>положен</w:t>
      </w:r>
      <w:r>
        <w:rPr>
          <w:color w:val="auto"/>
          <w:sz w:val="24"/>
          <w:szCs w:val="24"/>
          <w:lang w:val="ru-RU"/>
        </w:rPr>
        <w:t xml:space="preserve">ии </w:t>
      </w:r>
      <w:r w:rsidR="00E947CF" w:rsidRPr="004270E3">
        <w:rPr>
          <w:color w:val="auto"/>
          <w:sz w:val="24"/>
          <w:szCs w:val="24"/>
        </w:rPr>
        <w:t>общества в отрасли</w:t>
      </w:r>
      <w:bookmarkEnd w:id="35"/>
      <w:bookmarkEnd w:id="36"/>
    </w:p>
    <w:p w:rsidR="009630A3" w:rsidRPr="004270E3" w:rsidRDefault="00805EC3" w:rsidP="00884AB8">
      <w:pPr>
        <w:tabs>
          <w:tab w:val="left" w:pos="4485"/>
        </w:tabs>
      </w:pPr>
      <w:r w:rsidRPr="004270E3">
        <w:tab/>
      </w:r>
    </w:p>
    <w:p w:rsidR="0026094E" w:rsidRDefault="006E323E" w:rsidP="007F26AC">
      <w:pPr>
        <w:autoSpaceDE w:val="0"/>
        <w:autoSpaceDN w:val="0"/>
        <w:adjustRightInd w:val="0"/>
        <w:ind w:firstLine="567"/>
        <w:jc w:val="both"/>
      </w:pPr>
      <w:r w:rsidRPr="007E2AE5">
        <w:t xml:space="preserve">Общество с ограниченной ответственностью «Недвижимость пенсионного фонда» (далее </w:t>
      </w:r>
      <w:r w:rsidR="00F87CF9" w:rsidRPr="007E2AE5">
        <w:t xml:space="preserve">по тексту - </w:t>
      </w:r>
      <w:r w:rsidRPr="007E2AE5">
        <w:t xml:space="preserve">ООО «НПФ») осуществляет деятельность на рынке </w:t>
      </w:r>
      <w:r w:rsidR="00B6541D" w:rsidRPr="007E2AE5">
        <w:t>недвижимости</w:t>
      </w:r>
      <w:r w:rsidRPr="007E2AE5">
        <w:t>.</w:t>
      </w:r>
    </w:p>
    <w:p w:rsidR="00080639" w:rsidRDefault="00080639" w:rsidP="007F26AC">
      <w:pPr>
        <w:autoSpaceDE w:val="0"/>
        <w:autoSpaceDN w:val="0"/>
        <w:adjustRightInd w:val="0"/>
        <w:ind w:firstLine="567"/>
        <w:jc w:val="both"/>
      </w:pPr>
    </w:p>
    <w:p w:rsidR="00784916" w:rsidRDefault="00D67332" w:rsidP="007F26AC">
      <w:pPr>
        <w:autoSpaceDE w:val="0"/>
        <w:autoSpaceDN w:val="0"/>
        <w:adjustRightInd w:val="0"/>
        <w:ind w:firstLine="567"/>
        <w:jc w:val="both"/>
      </w:pPr>
      <w:r w:rsidRPr="00784916">
        <w:t xml:space="preserve">Несмотря на сохранение некоторой неопределенности в связи с продолжением пандемии </w:t>
      </w:r>
      <w:proofErr w:type="spellStart"/>
      <w:r w:rsidRPr="00784916">
        <w:t>коронавируса</w:t>
      </w:r>
      <w:proofErr w:type="spellEnd"/>
      <w:r w:rsidRPr="00784916">
        <w:t xml:space="preserve"> в 2021 году наблюдал</w:t>
      </w:r>
      <w:r w:rsidR="00784916" w:rsidRPr="00784916">
        <w:t>ось</w:t>
      </w:r>
      <w:r w:rsidRPr="00784916">
        <w:t xml:space="preserve"> восстановление инвестиций в недвижимость. По оценке </w:t>
      </w:r>
      <w:r w:rsidR="003A4175" w:rsidRPr="00784916">
        <w:t>Банка России,</w:t>
      </w:r>
      <w:r w:rsidRPr="00784916">
        <w:t xml:space="preserve"> в 2021 году рост ВВП составит 4-4,5%, а Министерство </w:t>
      </w:r>
      <w:r w:rsidR="003A4175">
        <w:t>э</w:t>
      </w:r>
      <w:r w:rsidRPr="00784916">
        <w:t xml:space="preserve">кономического развития ждет увеличения ВВП до 4,2% в годовом сопоставлении, что превышает ожидания по сравнению с </w:t>
      </w:r>
      <w:r w:rsidR="00784916" w:rsidRPr="00784916">
        <w:t>2020 годом</w:t>
      </w:r>
      <w:r w:rsidRPr="00784916">
        <w:t>.</w:t>
      </w:r>
    </w:p>
    <w:p w:rsidR="005C3F60" w:rsidRPr="00B524ED" w:rsidRDefault="005C3F60" w:rsidP="00C1725D">
      <w:pPr>
        <w:pStyle w:val="af4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rFonts w:ascii="Arial" w:hAnsi="Arial" w:cs="Arial"/>
          <w:b/>
          <w:bCs/>
          <w:i/>
          <w:iCs/>
          <w:color w:val="595959" w:themeColor="text1" w:themeTint="A6"/>
          <w:sz w:val="23"/>
          <w:szCs w:val="23"/>
        </w:rPr>
      </w:pPr>
      <w:r w:rsidRPr="00B524ED">
        <w:rPr>
          <w:rFonts w:ascii="Arial" w:hAnsi="Arial" w:cs="Arial"/>
          <w:b/>
          <w:bCs/>
          <w:i/>
          <w:iCs/>
          <w:color w:val="595959" w:themeColor="text1" w:themeTint="A6"/>
          <w:sz w:val="23"/>
          <w:szCs w:val="23"/>
        </w:rPr>
        <w:t>Динамика объема инвестиций в недвижимость России</w:t>
      </w:r>
    </w:p>
    <w:p w:rsidR="005C3F60" w:rsidRDefault="005C3F60" w:rsidP="00C1725D">
      <w:pPr>
        <w:pStyle w:val="af4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20AD35D9" wp14:editId="2FF79A34">
            <wp:extent cx="6143625" cy="340284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294" cy="34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>Сегмент коммерческой аренды взял курс на стабилизацию: за 2021 год интерес предпринимателей и инвесторов Екатеринбурга к покупке и аренде коммерческих площадей увеличился на 46% и 47% соответственно. Причиной роста эксперты называют развитие онлайн-шопинга.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 xml:space="preserve">В 2021 году спрос на коммерческую недвижимость вырос на рынках как купли-продажи, так и аренды. Ключевыми сегментами для отрасли стали помещения свободного назначения (ПСН), торговые объекты, офисы и индустриальная недвижимость </w:t>
      </w:r>
      <w:r w:rsidR="00BD52B9">
        <w:t xml:space="preserve">– </w:t>
      </w:r>
      <w:r w:rsidRPr="00080639">
        <w:t>склады</w:t>
      </w:r>
      <w:r w:rsidR="00BD52B9">
        <w:t xml:space="preserve"> </w:t>
      </w:r>
      <w:r w:rsidRPr="00080639">
        <w:t>и объекты производственного назначения.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>В Екатеринбурге спрос на аренду коммерческой недвижимости вырос на 47% год к году, а предложение выросло на 19%.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 xml:space="preserve">Популярнее всего в 2021 году были складские помещения: количество предложений складов в аренду увеличилось на 34% год к году, а спрос в данной категории вырос на 31%. Офисы по итогам 2021 года предлагают к продаже на 30% чаще. Заметный рост спроса и предложения также был отмечен в сегменте ПСН </w:t>
      </w:r>
      <w:r w:rsidR="00BD52B9">
        <w:t>(</w:t>
      </w:r>
      <w:r w:rsidRPr="00080639">
        <w:t>+33% и +12%</w:t>
      </w:r>
      <w:r w:rsidR="00BD52B9">
        <w:t>)</w:t>
      </w:r>
      <w:r w:rsidRPr="00080639">
        <w:t xml:space="preserve"> соответственно. Торговые помещения сдают в аренду</w:t>
      </w:r>
      <w:r>
        <w:t>,</w:t>
      </w:r>
      <w:r w:rsidRPr="00080639">
        <w:t xml:space="preserve"> как и в прошлом году, а интерес к ним вырос на 5%. Спрос на </w:t>
      </w:r>
      <w:r w:rsidR="00D1737D">
        <w:t>сдачу в аренду складских помещений</w:t>
      </w:r>
      <w:r w:rsidRPr="00080639">
        <w:t xml:space="preserve"> повысился на 9%.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>Годовая динамика спроса и предложения на рынке купли-продажи коммерческих помещений в Екатеринбурге составила +46% и +24%.</w:t>
      </w:r>
    </w:p>
    <w:p w:rsid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 xml:space="preserve">Продавать предпочитают офисы: за 2021 год количество объявлений о продаже офисной недвижимости в России увеличилось на 10%. Другие сегменты отрасли продемонстрировали более сдержанную динамику </w:t>
      </w:r>
      <w:r w:rsidR="00BD52B9">
        <w:t>–</w:t>
      </w:r>
      <w:r w:rsidRPr="00080639">
        <w:t xml:space="preserve"> собственники</w:t>
      </w:r>
      <w:r w:rsidR="00BD52B9">
        <w:t xml:space="preserve"> </w:t>
      </w:r>
      <w:r w:rsidRPr="00080639">
        <w:t xml:space="preserve">не спешили продавать имеющиеся активы. Так, предложение торговых площадей выросло на 3% год к году, ПСН </w:t>
      </w:r>
      <w:r w:rsidR="00BD52B9">
        <w:t>–</w:t>
      </w:r>
      <w:r w:rsidRPr="00080639">
        <w:t xml:space="preserve"> на</w:t>
      </w:r>
      <w:r w:rsidR="00BD52B9">
        <w:t xml:space="preserve"> </w:t>
      </w:r>
      <w:r w:rsidRPr="00080639">
        <w:t xml:space="preserve">2%, складов </w:t>
      </w:r>
      <w:r w:rsidR="00BD52B9">
        <w:t>–</w:t>
      </w:r>
      <w:r w:rsidRPr="00080639">
        <w:t xml:space="preserve"> на</w:t>
      </w:r>
      <w:r w:rsidR="00BD52B9">
        <w:t xml:space="preserve"> </w:t>
      </w:r>
      <w:r w:rsidRPr="00080639">
        <w:t xml:space="preserve">1%. А предложение снизилось на 11%. При этом спрос за год вырос в категории ПСН </w:t>
      </w:r>
      <w:r w:rsidR="00BD52B9">
        <w:t>–</w:t>
      </w:r>
      <w:r w:rsidRPr="00080639">
        <w:t xml:space="preserve"> на</w:t>
      </w:r>
      <w:r w:rsidR="00BD52B9">
        <w:t xml:space="preserve"> </w:t>
      </w:r>
      <w:r w:rsidRPr="00080639">
        <w:t xml:space="preserve">10%, складов </w:t>
      </w:r>
      <w:r w:rsidR="00BD52B9">
        <w:lastRenderedPageBreak/>
        <w:t>–</w:t>
      </w:r>
      <w:r w:rsidRPr="00080639">
        <w:t xml:space="preserve"> на</w:t>
      </w:r>
      <w:r w:rsidR="00BD52B9">
        <w:t xml:space="preserve"> </w:t>
      </w:r>
      <w:r w:rsidRPr="00080639">
        <w:t xml:space="preserve">5% и офисов </w:t>
      </w:r>
      <w:r w:rsidR="00BD52B9">
        <w:t>–</w:t>
      </w:r>
      <w:r w:rsidRPr="00080639">
        <w:t xml:space="preserve"> на</w:t>
      </w:r>
      <w:r w:rsidR="00BD52B9">
        <w:t xml:space="preserve"> </w:t>
      </w:r>
      <w:r w:rsidRPr="00080639">
        <w:t>3%. Торговыми площадями и производственными объектами российские предприниматели интересовались на 3% и 4% меньше, чем в 2020</w:t>
      </w:r>
      <w:r w:rsidR="00BD52B9">
        <w:t xml:space="preserve"> году.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>У всероссийской тенденции к росту спроса на коммерческую недвижимость есть логичное объяснение. В 2021 году одним из определяющих векторов развития рынка коммерческой недвижимости стал сегмент e-</w:t>
      </w:r>
      <w:proofErr w:type="spellStart"/>
      <w:r w:rsidRPr="00080639">
        <w:t>commerce</w:t>
      </w:r>
      <w:proofErr w:type="spellEnd"/>
      <w:r w:rsidRPr="00080639">
        <w:t>. Онлайн-</w:t>
      </w:r>
      <w:proofErr w:type="spellStart"/>
      <w:r w:rsidRPr="00080639">
        <w:t>ритейлеры</w:t>
      </w:r>
      <w:proofErr w:type="spellEnd"/>
      <w:r w:rsidRPr="00080639">
        <w:t xml:space="preserve">, сервисы доставки и </w:t>
      </w:r>
      <w:proofErr w:type="spellStart"/>
      <w:r w:rsidRPr="00080639">
        <w:t>маркетплейсы</w:t>
      </w:r>
      <w:proofErr w:type="spellEnd"/>
      <w:r w:rsidRPr="00080639">
        <w:t xml:space="preserve"> арендовали складские площади и помещения свободного назначения чаще всего. Бурный рост интернет-шопинга способствовал и перераспределению спроса в категории торговых объектов </w:t>
      </w:r>
      <w:r w:rsidR="00BD52B9">
        <w:t>–</w:t>
      </w:r>
      <w:r w:rsidRPr="00080639">
        <w:t xml:space="preserve"> выгоднее</w:t>
      </w:r>
      <w:r w:rsidR="00BD52B9">
        <w:t xml:space="preserve"> </w:t>
      </w:r>
      <w:r w:rsidRPr="00080639">
        <w:t xml:space="preserve">всего для аренды и покупки теперь компактные точки вблизи жилых массивов. Если позитивная динамика к концу 2022 года сохранится, рынок коммерческой недвижимости вполне может вернуться к </w:t>
      </w:r>
      <w:proofErr w:type="spellStart"/>
      <w:r w:rsidRPr="00080639">
        <w:t>допандемийным</w:t>
      </w:r>
      <w:proofErr w:type="spellEnd"/>
      <w:r w:rsidRPr="00080639">
        <w:t xml:space="preserve"> значениям. При этом возможно усиление дефицита к</w:t>
      </w:r>
      <w:r w:rsidR="000751DD">
        <w:t>ачественных ликвидных объектов</w:t>
      </w:r>
      <w:r w:rsidRPr="00080639">
        <w:t>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>На фоне оживления рынка коммерческих площадей и роста уровня инфляции средние арендные ставки и цены повысились во всех основных категориях объектов. Средняя стоимость аренды в сегменте складов повысилась до +40% год к году до 350 руб./</w:t>
      </w:r>
      <w:proofErr w:type="spellStart"/>
      <w:r w:rsidRPr="00080639">
        <w:t>кв.м</w:t>
      </w:r>
      <w:proofErr w:type="spellEnd"/>
      <w:r w:rsidRPr="00080639">
        <w:t xml:space="preserve">. </w:t>
      </w:r>
      <w:r w:rsidR="00356D11">
        <w:t>У</w:t>
      </w:r>
      <w:r w:rsidRPr="00080639">
        <w:t xml:space="preserve">величились средние ставки на аренду офисов </w:t>
      </w:r>
      <w:r w:rsidR="00356D11">
        <w:t>(</w:t>
      </w:r>
      <w:r w:rsidRPr="00080639">
        <w:t>+</w:t>
      </w:r>
      <w:r w:rsidR="00356D11">
        <w:t>27% год к году до 1000 руб./</w:t>
      </w:r>
      <w:proofErr w:type="spellStart"/>
      <w:r w:rsidR="00356D11">
        <w:t>кв.</w:t>
      </w:r>
      <w:r w:rsidRPr="00080639">
        <w:t>м</w:t>
      </w:r>
      <w:proofErr w:type="spellEnd"/>
      <w:r w:rsidR="00356D11">
        <w:t>.)</w:t>
      </w:r>
      <w:r w:rsidRPr="00080639">
        <w:t xml:space="preserve"> и торговых площадей </w:t>
      </w:r>
      <w:r w:rsidR="00356D11">
        <w:t>(</w:t>
      </w:r>
      <w:r w:rsidRPr="00080639">
        <w:t>+15% до 940 руб./</w:t>
      </w:r>
      <w:proofErr w:type="spellStart"/>
      <w:r w:rsidRPr="00080639">
        <w:t>кв.м</w:t>
      </w:r>
      <w:proofErr w:type="spellEnd"/>
      <w:r w:rsidR="00356D11">
        <w:t>.).</w:t>
      </w:r>
    </w:p>
    <w:p w:rsidR="00080639" w:rsidRPr="00080639" w:rsidRDefault="00080639" w:rsidP="00080639">
      <w:pPr>
        <w:autoSpaceDE w:val="0"/>
        <w:autoSpaceDN w:val="0"/>
        <w:adjustRightInd w:val="0"/>
        <w:ind w:firstLine="567"/>
        <w:jc w:val="both"/>
      </w:pPr>
      <w:r w:rsidRPr="00080639">
        <w:t xml:space="preserve">Средние цены на покупку торговых площадей по итогам 2021 года повысились на 29%, складов </w:t>
      </w:r>
      <w:r w:rsidR="00356D11">
        <w:t>–</w:t>
      </w:r>
      <w:r w:rsidRPr="00080639">
        <w:t xml:space="preserve"> на</w:t>
      </w:r>
      <w:r w:rsidR="00356D11">
        <w:t xml:space="preserve"> </w:t>
      </w:r>
      <w:r w:rsidRPr="00080639">
        <w:t xml:space="preserve">24%, офисов </w:t>
      </w:r>
      <w:r w:rsidR="00356D11">
        <w:t>–</w:t>
      </w:r>
      <w:r w:rsidRPr="00080639">
        <w:t xml:space="preserve"> на</w:t>
      </w:r>
      <w:r w:rsidR="00356D11">
        <w:t xml:space="preserve"> </w:t>
      </w:r>
      <w:r w:rsidRPr="00080639">
        <w:t xml:space="preserve">22%. ПСН подорожали на 19%, производственные объекты </w:t>
      </w:r>
      <w:r w:rsidR="00356D11">
        <w:t>–</w:t>
      </w:r>
      <w:r w:rsidRPr="00080639">
        <w:t xml:space="preserve"> на</w:t>
      </w:r>
      <w:r w:rsidR="00356D11">
        <w:t xml:space="preserve"> </w:t>
      </w:r>
      <w:r w:rsidRPr="00080639">
        <w:t>14%.</w:t>
      </w:r>
    </w:p>
    <w:p w:rsidR="000369E0" w:rsidRPr="00855CE0" w:rsidRDefault="000369E0" w:rsidP="00915DC3">
      <w:pPr>
        <w:jc w:val="center"/>
        <w:outlineLvl w:val="0"/>
      </w:pPr>
      <w:bookmarkStart w:id="37" w:name="_Toc67038525"/>
      <w:bookmarkStart w:id="38" w:name="_Toc67038638"/>
      <w:r w:rsidRPr="00836AE0">
        <w:t xml:space="preserve">Цены на недвижимость в Екатеринбурге </w:t>
      </w:r>
      <w:r w:rsidR="00CE760A" w:rsidRPr="00836AE0">
        <w:t xml:space="preserve">в </w:t>
      </w:r>
      <w:r w:rsidR="00AE16DF">
        <w:t xml:space="preserve">декабре </w:t>
      </w:r>
      <w:r w:rsidR="00CE760A" w:rsidRPr="00836AE0">
        <w:t>20</w:t>
      </w:r>
      <w:r w:rsidR="00836AE0" w:rsidRPr="00836AE0">
        <w:t>2</w:t>
      </w:r>
      <w:r w:rsidR="00CA5BB2">
        <w:t>1</w:t>
      </w:r>
      <w:r w:rsidR="00CE760A" w:rsidRPr="00836AE0">
        <w:t xml:space="preserve"> г</w:t>
      </w:r>
      <w:bookmarkEnd w:id="37"/>
      <w:bookmarkEnd w:id="38"/>
      <w:r w:rsidR="00AE16DF">
        <w:t>.</w:t>
      </w:r>
    </w:p>
    <w:p w:rsidR="000369E0" w:rsidRPr="00855CE0" w:rsidRDefault="000369E0" w:rsidP="00915DC3">
      <w:pPr>
        <w:jc w:val="center"/>
        <w:outlineLvl w:val="1"/>
      </w:pPr>
      <w:bookmarkStart w:id="39" w:name="_Toc67038526"/>
      <w:bookmarkStart w:id="40" w:name="_Toc67038639"/>
      <w:r w:rsidRPr="00855CE0">
        <w:t>Продажа</w:t>
      </w:r>
      <w:bookmarkEnd w:id="39"/>
      <w:bookmarkEnd w:id="40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2871"/>
        <w:gridCol w:w="2629"/>
      </w:tblGrid>
      <w:tr w:rsidR="00EF478E" w:rsidRPr="00855CE0" w:rsidTr="00913CA2">
        <w:trPr>
          <w:tblCellSpacing w:w="15" w:type="dxa"/>
          <w:jc w:val="center"/>
        </w:trPr>
        <w:tc>
          <w:tcPr>
            <w:tcW w:w="2803" w:type="dxa"/>
            <w:vAlign w:val="center"/>
            <w:hideMark/>
          </w:tcPr>
          <w:p w:rsidR="00EF478E" w:rsidRPr="00855CE0" w:rsidRDefault="00EF478E" w:rsidP="00A046A3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Недвижимость</w:t>
            </w:r>
          </w:p>
        </w:tc>
        <w:tc>
          <w:tcPr>
            <w:tcW w:w="2841" w:type="dxa"/>
            <w:vAlign w:val="center"/>
            <w:hideMark/>
          </w:tcPr>
          <w:p w:rsidR="00EF478E" w:rsidRPr="00855CE0" w:rsidRDefault="00EF478E" w:rsidP="00A046A3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Цена</w:t>
            </w:r>
          </w:p>
        </w:tc>
        <w:tc>
          <w:tcPr>
            <w:tcW w:w="2584" w:type="dxa"/>
            <w:vAlign w:val="center"/>
            <w:hideMark/>
          </w:tcPr>
          <w:p w:rsidR="00EF478E" w:rsidRPr="00855CE0" w:rsidRDefault="00EF478E" w:rsidP="00855CE0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Изменение за год</w:t>
            </w:r>
          </w:p>
        </w:tc>
      </w:tr>
      <w:tr w:rsidR="000653BE" w:rsidRPr="00855CE0" w:rsidTr="00913CA2">
        <w:trPr>
          <w:tblCellSpacing w:w="15" w:type="dxa"/>
          <w:jc w:val="center"/>
        </w:trPr>
        <w:tc>
          <w:tcPr>
            <w:tcW w:w="2803" w:type="dxa"/>
            <w:vAlign w:val="center"/>
            <w:hideMark/>
          </w:tcPr>
          <w:p w:rsidR="000653BE" w:rsidRPr="00855CE0" w:rsidRDefault="00D469A0" w:rsidP="000653BE">
            <w:pPr>
              <w:rPr>
                <w:lang w:eastAsia="ru-RU"/>
              </w:rPr>
            </w:pPr>
            <w:hyperlink r:id="rId10" w:history="1">
              <w:r w:rsidR="000653BE" w:rsidRPr="00855CE0">
                <w:rPr>
                  <w:lang w:eastAsia="ru-RU"/>
                </w:rPr>
                <w:t>Земля</w:t>
              </w:r>
            </w:hyperlink>
          </w:p>
        </w:tc>
        <w:tc>
          <w:tcPr>
            <w:tcW w:w="2841" w:type="dxa"/>
            <w:vAlign w:val="center"/>
            <w:hideMark/>
          </w:tcPr>
          <w:p w:rsidR="000653BE" w:rsidRPr="00855CE0" w:rsidRDefault="00AE16DF" w:rsidP="000653BE">
            <w:pPr>
              <w:jc w:val="center"/>
            </w:pPr>
            <w:r w:rsidRPr="0053251D">
              <w:t>66 695</w:t>
            </w:r>
            <w:r w:rsidR="00CA5BB2" w:rsidRPr="00CA5BB2">
              <w:t> руб./сотка</w:t>
            </w:r>
          </w:p>
        </w:tc>
        <w:tc>
          <w:tcPr>
            <w:tcW w:w="2584" w:type="dxa"/>
            <w:hideMark/>
          </w:tcPr>
          <w:p w:rsidR="000653BE" w:rsidRPr="00C261EE" w:rsidRDefault="008D5B54" w:rsidP="000653BE">
            <w:pPr>
              <w:jc w:val="center"/>
            </w:pPr>
            <w:r>
              <w:t>-40.92</w:t>
            </w:r>
            <w:r w:rsidR="00CA5BB2" w:rsidRPr="00CA5BB2">
              <w:t> %</w:t>
            </w:r>
          </w:p>
        </w:tc>
      </w:tr>
      <w:tr w:rsidR="000653BE" w:rsidRPr="00855CE0" w:rsidTr="00913CA2">
        <w:trPr>
          <w:tblCellSpacing w:w="15" w:type="dxa"/>
          <w:jc w:val="center"/>
        </w:trPr>
        <w:tc>
          <w:tcPr>
            <w:tcW w:w="2803" w:type="dxa"/>
            <w:vAlign w:val="center"/>
            <w:hideMark/>
          </w:tcPr>
          <w:p w:rsidR="000653BE" w:rsidRPr="00855CE0" w:rsidRDefault="00D469A0" w:rsidP="000653BE">
            <w:pPr>
              <w:rPr>
                <w:lang w:eastAsia="ru-RU"/>
              </w:rPr>
            </w:pPr>
            <w:hyperlink r:id="rId11" w:tooltip="Продажа офисов в Екатеринбурге" w:history="1">
              <w:r w:rsidR="000653BE" w:rsidRPr="00855CE0">
                <w:rPr>
                  <w:lang w:eastAsia="ru-RU"/>
                </w:rPr>
                <w:t>Офисы</w:t>
              </w:r>
            </w:hyperlink>
          </w:p>
        </w:tc>
        <w:tc>
          <w:tcPr>
            <w:tcW w:w="2841" w:type="dxa"/>
            <w:vAlign w:val="center"/>
            <w:hideMark/>
          </w:tcPr>
          <w:p w:rsidR="000653BE" w:rsidRPr="00855CE0" w:rsidRDefault="00AE16DF" w:rsidP="000653BE">
            <w:pPr>
              <w:jc w:val="center"/>
            </w:pPr>
            <w:r w:rsidRPr="0053251D">
              <w:t>72 015</w:t>
            </w:r>
            <w:r>
              <w:rPr>
                <w:rFonts w:ascii="MS Reference Sans Serif" w:hAnsi="MS Reference Sans Serif"/>
                <w:color w:val="444444"/>
                <w:sz w:val="20"/>
                <w:szCs w:val="20"/>
                <w:shd w:val="clear" w:color="auto" w:fill="F5F5F5"/>
              </w:rPr>
              <w:t xml:space="preserve"> </w:t>
            </w:r>
            <w:r w:rsidR="00CA5BB2" w:rsidRPr="00CA5BB2">
              <w:t>руб./м</w:t>
            </w:r>
            <w:r w:rsidR="00CA5BB2">
              <w:rPr>
                <w:rFonts w:ascii="MS Reference Sans Serif" w:hAnsi="MS Reference Sans Serif"/>
                <w:color w:val="444444"/>
                <w:vertAlign w:val="superscript"/>
              </w:rPr>
              <w:t>2</w:t>
            </w:r>
          </w:p>
        </w:tc>
        <w:tc>
          <w:tcPr>
            <w:tcW w:w="2584" w:type="dxa"/>
            <w:hideMark/>
          </w:tcPr>
          <w:p w:rsidR="000653BE" w:rsidRPr="00C261EE" w:rsidRDefault="00CA5BB2" w:rsidP="008D5B54">
            <w:pPr>
              <w:jc w:val="center"/>
            </w:pPr>
            <w:r w:rsidRPr="00CA5BB2">
              <w:t>+</w:t>
            </w:r>
            <w:r w:rsidR="008D5B54">
              <w:t>0</w:t>
            </w:r>
            <w:r w:rsidRPr="00CA5BB2">
              <w:t>.2 %</w:t>
            </w:r>
          </w:p>
        </w:tc>
      </w:tr>
      <w:tr w:rsidR="000653BE" w:rsidRPr="00855CE0" w:rsidTr="00913CA2">
        <w:trPr>
          <w:tblCellSpacing w:w="15" w:type="dxa"/>
          <w:jc w:val="center"/>
        </w:trPr>
        <w:tc>
          <w:tcPr>
            <w:tcW w:w="2803" w:type="dxa"/>
            <w:vAlign w:val="center"/>
            <w:hideMark/>
          </w:tcPr>
          <w:p w:rsidR="000653BE" w:rsidRPr="00855CE0" w:rsidRDefault="00D469A0" w:rsidP="000653BE">
            <w:pPr>
              <w:rPr>
                <w:lang w:eastAsia="ru-RU"/>
              </w:rPr>
            </w:pPr>
            <w:hyperlink r:id="rId12" w:tooltip="Продажа торговых площадей в Екатеринбурге" w:history="1">
              <w:r w:rsidR="000653BE" w:rsidRPr="00855CE0">
                <w:rPr>
                  <w:lang w:eastAsia="ru-RU"/>
                </w:rPr>
                <w:t>Торговые площади</w:t>
              </w:r>
            </w:hyperlink>
          </w:p>
        </w:tc>
        <w:tc>
          <w:tcPr>
            <w:tcW w:w="2841" w:type="dxa"/>
            <w:vAlign w:val="center"/>
            <w:hideMark/>
          </w:tcPr>
          <w:p w:rsidR="000653BE" w:rsidRPr="00855CE0" w:rsidRDefault="00AE16DF" w:rsidP="000653BE">
            <w:pPr>
              <w:jc w:val="center"/>
            </w:pPr>
            <w:r w:rsidRPr="0053251D">
              <w:t>98 539</w:t>
            </w:r>
            <w:r>
              <w:rPr>
                <w:rFonts w:ascii="MS Reference Sans Serif" w:hAnsi="MS Reference Sans Serif"/>
                <w:color w:val="444444"/>
                <w:sz w:val="20"/>
                <w:szCs w:val="20"/>
                <w:shd w:val="clear" w:color="auto" w:fill="F5F5F5"/>
              </w:rPr>
              <w:t xml:space="preserve"> </w:t>
            </w:r>
            <w:r w:rsidR="00CA5BB2" w:rsidRPr="00CA5BB2">
              <w:t>руб./м</w:t>
            </w:r>
            <w:r w:rsidR="00CA5BB2">
              <w:rPr>
                <w:rFonts w:ascii="MS Reference Sans Serif" w:hAnsi="MS Reference Sans Serif"/>
                <w:color w:val="444444"/>
                <w:vertAlign w:val="superscript"/>
              </w:rPr>
              <w:t>2</w:t>
            </w:r>
          </w:p>
        </w:tc>
        <w:tc>
          <w:tcPr>
            <w:tcW w:w="2584" w:type="dxa"/>
            <w:hideMark/>
          </w:tcPr>
          <w:p w:rsidR="000653BE" w:rsidRPr="00C261EE" w:rsidRDefault="008D5B54" w:rsidP="008D5B54">
            <w:pPr>
              <w:jc w:val="center"/>
            </w:pPr>
            <w:r>
              <w:t>+14</w:t>
            </w:r>
            <w:r w:rsidR="00CA5BB2" w:rsidRPr="00CA5BB2">
              <w:t>.</w:t>
            </w:r>
            <w:r>
              <w:t>68</w:t>
            </w:r>
            <w:r w:rsidR="00CA5BB2" w:rsidRPr="00CA5BB2">
              <w:t> %</w:t>
            </w:r>
          </w:p>
        </w:tc>
      </w:tr>
    </w:tbl>
    <w:p w:rsidR="00915DC3" w:rsidRPr="00855CE0" w:rsidRDefault="00915DC3" w:rsidP="00915DC3">
      <w:pPr>
        <w:jc w:val="center"/>
        <w:outlineLvl w:val="0"/>
      </w:pPr>
    </w:p>
    <w:p w:rsidR="000369E0" w:rsidRPr="00855CE0" w:rsidRDefault="000369E0" w:rsidP="00915DC3">
      <w:pPr>
        <w:jc w:val="center"/>
        <w:outlineLvl w:val="0"/>
      </w:pPr>
      <w:bookmarkStart w:id="41" w:name="_Toc67038527"/>
      <w:bookmarkStart w:id="42" w:name="_Toc67038640"/>
      <w:r w:rsidRPr="00855CE0">
        <w:t>Аренда</w:t>
      </w:r>
      <w:bookmarkEnd w:id="41"/>
      <w:bookmarkEnd w:id="42"/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2"/>
        <w:gridCol w:w="2881"/>
        <w:gridCol w:w="2608"/>
      </w:tblGrid>
      <w:tr w:rsidR="00EF478E" w:rsidRPr="00855CE0" w:rsidTr="00913CA2">
        <w:trPr>
          <w:tblCellSpacing w:w="15" w:type="dxa"/>
          <w:jc w:val="center"/>
        </w:trPr>
        <w:tc>
          <w:tcPr>
            <w:tcW w:w="2857" w:type="dxa"/>
            <w:vAlign w:val="center"/>
            <w:hideMark/>
          </w:tcPr>
          <w:p w:rsidR="00EF478E" w:rsidRPr="00855CE0" w:rsidRDefault="00EF478E" w:rsidP="00A046A3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Недвижимость</w:t>
            </w:r>
          </w:p>
        </w:tc>
        <w:tc>
          <w:tcPr>
            <w:tcW w:w="2851" w:type="dxa"/>
            <w:vAlign w:val="center"/>
            <w:hideMark/>
          </w:tcPr>
          <w:p w:rsidR="00EF478E" w:rsidRPr="00855CE0" w:rsidRDefault="00EF478E" w:rsidP="00A046A3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Цена</w:t>
            </w:r>
          </w:p>
        </w:tc>
        <w:tc>
          <w:tcPr>
            <w:tcW w:w="2563" w:type="dxa"/>
            <w:vAlign w:val="center"/>
            <w:hideMark/>
          </w:tcPr>
          <w:p w:rsidR="00EF478E" w:rsidRPr="00855CE0" w:rsidRDefault="00EF478E" w:rsidP="00A539B0">
            <w:pPr>
              <w:jc w:val="center"/>
              <w:rPr>
                <w:bCs/>
                <w:lang w:eastAsia="ru-RU"/>
              </w:rPr>
            </w:pPr>
            <w:r w:rsidRPr="00855CE0">
              <w:rPr>
                <w:bCs/>
                <w:lang w:eastAsia="ru-RU"/>
              </w:rPr>
              <w:t>Изменение за год</w:t>
            </w:r>
          </w:p>
        </w:tc>
      </w:tr>
      <w:tr w:rsidR="000653BE" w:rsidRPr="00855CE0" w:rsidTr="00913CA2">
        <w:trPr>
          <w:tblCellSpacing w:w="15" w:type="dxa"/>
          <w:jc w:val="center"/>
        </w:trPr>
        <w:tc>
          <w:tcPr>
            <w:tcW w:w="2857" w:type="dxa"/>
            <w:vAlign w:val="center"/>
            <w:hideMark/>
          </w:tcPr>
          <w:p w:rsidR="000653BE" w:rsidRPr="00855CE0" w:rsidRDefault="00D469A0" w:rsidP="000653BE">
            <w:pPr>
              <w:rPr>
                <w:lang w:eastAsia="ru-RU"/>
              </w:rPr>
            </w:pPr>
            <w:hyperlink r:id="rId13" w:tooltip="Аренда офисов в Екатеринбурге" w:history="1">
              <w:r w:rsidR="000653BE" w:rsidRPr="00855CE0">
                <w:rPr>
                  <w:lang w:eastAsia="ru-RU"/>
                </w:rPr>
                <w:t>Офисы</w:t>
              </w:r>
            </w:hyperlink>
          </w:p>
        </w:tc>
        <w:tc>
          <w:tcPr>
            <w:tcW w:w="2851" w:type="dxa"/>
            <w:vAlign w:val="center"/>
            <w:hideMark/>
          </w:tcPr>
          <w:p w:rsidR="000653BE" w:rsidRPr="00855CE0" w:rsidRDefault="0053251D" w:rsidP="000653BE">
            <w:pPr>
              <w:jc w:val="center"/>
            </w:pPr>
            <w:r>
              <w:t>7 484</w:t>
            </w:r>
            <w:r w:rsidR="00843537" w:rsidRPr="00843537">
              <w:t> руб./м</w:t>
            </w:r>
            <w:r w:rsidR="00843537">
              <w:rPr>
                <w:rFonts w:ascii="MS Reference Sans Serif" w:hAnsi="MS Reference Sans Serif"/>
                <w:color w:val="444444"/>
                <w:vertAlign w:val="superscript"/>
              </w:rPr>
              <w:t>2</w:t>
            </w:r>
            <w:r w:rsidR="00843537" w:rsidRPr="00843537">
              <w:t>/год</w:t>
            </w:r>
          </w:p>
        </w:tc>
        <w:tc>
          <w:tcPr>
            <w:tcW w:w="2563" w:type="dxa"/>
            <w:hideMark/>
          </w:tcPr>
          <w:p w:rsidR="000653BE" w:rsidRPr="00C261EE" w:rsidRDefault="00BF4E7E" w:rsidP="00BF4E7E">
            <w:pPr>
              <w:jc w:val="center"/>
            </w:pPr>
            <w:r>
              <w:t>-11</w:t>
            </w:r>
            <w:r w:rsidR="00843537" w:rsidRPr="00843537">
              <w:t>.</w:t>
            </w:r>
            <w:r>
              <w:t>86</w:t>
            </w:r>
            <w:r w:rsidR="00843537" w:rsidRPr="00843537">
              <w:t> %</w:t>
            </w:r>
          </w:p>
        </w:tc>
      </w:tr>
      <w:tr w:rsidR="000653BE" w:rsidRPr="00855CE0" w:rsidTr="00913CA2">
        <w:trPr>
          <w:tblCellSpacing w:w="15" w:type="dxa"/>
          <w:jc w:val="center"/>
        </w:trPr>
        <w:tc>
          <w:tcPr>
            <w:tcW w:w="2857" w:type="dxa"/>
            <w:vAlign w:val="center"/>
            <w:hideMark/>
          </w:tcPr>
          <w:p w:rsidR="000653BE" w:rsidRPr="00855CE0" w:rsidRDefault="00D469A0" w:rsidP="000653BE">
            <w:pPr>
              <w:rPr>
                <w:lang w:eastAsia="ru-RU"/>
              </w:rPr>
            </w:pPr>
            <w:hyperlink r:id="rId14" w:tooltip="Аренда торговых площадей в Екатеринбурге" w:history="1">
              <w:r w:rsidR="000653BE" w:rsidRPr="00855CE0">
                <w:rPr>
                  <w:lang w:eastAsia="ru-RU"/>
                </w:rPr>
                <w:t>Торговые площади</w:t>
              </w:r>
            </w:hyperlink>
          </w:p>
        </w:tc>
        <w:tc>
          <w:tcPr>
            <w:tcW w:w="2851" w:type="dxa"/>
            <w:vAlign w:val="center"/>
            <w:hideMark/>
          </w:tcPr>
          <w:p w:rsidR="000653BE" w:rsidRPr="00855CE0" w:rsidRDefault="00843537" w:rsidP="0053251D">
            <w:pPr>
              <w:jc w:val="center"/>
            </w:pPr>
            <w:r w:rsidRPr="00843537">
              <w:t>11 </w:t>
            </w:r>
            <w:r w:rsidR="0053251D">
              <w:t>532</w:t>
            </w:r>
            <w:r w:rsidRPr="00843537">
              <w:t> руб./м</w:t>
            </w:r>
            <w:r>
              <w:rPr>
                <w:rFonts w:ascii="MS Reference Sans Serif" w:hAnsi="MS Reference Sans Serif"/>
                <w:color w:val="444444"/>
                <w:vertAlign w:val="superscript"/>
              </w:rPr>
              <w:t>2</w:t>
            </w:r>
            <w:r w:rsidRPr="00843537">
              <w:t>/год</w:t>
            </w:r>
          </w:p>
        </w:tc>
        <w:tc>
          <w:tcPr>
            <w:tcW w:w="2563" w:type="dxa"/>
            <w:hideMark/>
          </w:tcPr>
          <w:p w:rsidR="000653BE" w:rsidRPr="00C261EE" w:rsidRDefault="00843537" w:rsidP="00BF4E7E">
            <w:pPr>
              <w:jc w:val="center"/>
            </w:pPr>
            <w:r w:rsidRPr="00843537">
              <w:t>+</w:t>
            </w:r>
            <w:r w:rsidR="00BF4E7E">
              <w:t>5</w:t>
            </w:r>
            <w:r w:rsidRPr="00843537">
              <w:t>.</w:t>
            </w:r>
            <w:r w:rsidR="00BF4E7E">
              <w:t>08</w:t>
            </w:r>
            <w:r w:rsidRPr="00843537">
              <w:t> %</w:t>
            </w:r>
          </w:p>
        </w:tc>
      </w:tr>
    </w:tbl>
    <w:p w:rsidR="008E543C" w:rsidRPr="00855CE0" w:rsidRDefault="008E543C" w:rsidP="007E7C6E">
      <w:pPr>
        <w:autoSpaceDE w:val="0"/>
        <w:autoSpaceDN w:val="0"/>
        <w:adjustRightInd w:val="0"/>
        <w:jc w:val="center"/>
      </w:pPr>
    </w:p>
    <w:p w:rsidR="0026094E" w:rsidRPr="00F5777E" w:rsidRDefault="0026094E" w:rsidP="0026094E">
      <w:pPr>
        <w:ind w:firstLine="567"/>
        <w:jc w:val="both"/>
        <w:rPr>
          <w:b/>
          <w:i/>
        </w:rPr>
      </w:pPr>
      <w:r w:rsidRPr="00F5777E">
        <w:rPr>
          <w:b/>
          <w:i/>
        </w:rPr>
        <w:t>Основные конкуренты</w:t>
      </w:r>
    </w:p>
    <w:p w:rsidR="0007193B" w:rsidRPr="00356C4C" w:rsidRDefault="0007193B" w:rsidP="007F26AC">
      <w:pPr>
        <w:ind w:firstLine="567"/>
        <w:jc w:val="both"/>
      </w:pPr>
      <w:r w:rsidRPr="00356C4C">
        <w:t xml:space="preserve">Основной деятельностью Общества является </w:t>
      </w:r>
      <w:r w:rsidR="00B81032" w:rsidRPr="00356C4C">
        <w:t>сдача в</w:t>
      </w:r>
      <w:r w:rsidRPr="00356C4C">
        <w:t xml:space="preserve"> аренду коммерческой недвижимости.</w:t>
      </w:r>
    </w:p>
    <w:p w:rsidR="00EE3CBA" w:rsidRPr="00AD292C" w:rsidRDefault="00B81032" w:rsidP="007F26AC">
      <w:pPr>
        <w:ind w:firstLine="567"/>
        <w:jc w:val="both"/>
      </w:pPr>
      <w:r w:rsidRPr="00356C4C">
        <w:t xml:space="preserve">Таким </w:t>
      </w:r>
      <w:r w:rsidR="00D310ED" w:rsidRPr="00356C4C">
        <w:t>образом,</w:t>
      </w:r>
      <w:r w:rsidRPr="00356C4C">
        <w:t xml:space="preserve"> основными конкурентами ООО «НПФ» являются </w:t>
      </w:r>
      <w:r w:rsidR="00D310ED" w:rsidRPr="00356C4C">
        <w:t xml:space="preserve">ведущие </w:t>
      </w:r>
      <w:r w:rsidRPr="00356C4C">
        <w:t>застройщики</w:t>
      </w:r>
      <w:r w:rsidR="00461954" w:rsidRPr="00356C4C">
        <w:t xml:space="preserve"> </w:t>
      </w:r>
      <w:r w:rsidR="002B2BCF" w:rsidRPr="00356C4C">
        <w:t>Екатеринбурга:</w:t>
      </w:r>
      <w:r w:rsidR="00DE36C8" w:rsidRPr="00356C4C">
        <w:t xml:space="preserve"> </w:t>
      </w:r>
      <w:proofErr w:type="spellStart"/>
      <w:r w:rsidR="00EE3CBA" w:rsidRPr="00356C4C">
        <w:t>Атомстройкомплекс</w:t>
      </w:r>
      <w:proofErr w:type="spellEnd"/>
      <w:r w:rsidR="00DE36C8" w:rsidRPr="00356C4C">
        <w:t xml:space="preserve">, </w:t>
      </w:r>
      <w:r w:rsidR="00AD292C" w:rsidRPr="008E6FD5">
        <w:t>ГК «КОРТРОС»</w:t>
      </w:r>
      <w:r w:rsidR="00DE36C8" w:rsidRPr="00356C4C">
        <w:t>, Форум</w:t>
      </w:r>
      <w:r w:rsidR="00AD292C" w:rsidRPr="00356C4C">
        <w:t>-Групп</w:t>
      </w:r>
      <w:r w:rsidR="00DE36C8" w:rsidRPr="00356C4C">
        <w:t xml:space="preserve">, </w:t>
      </w:r>
      <w:proofErr w:type="spellStart"/>
      <w:r w:rsidR="00EE3CBA" w:rsidRPr="00356C4C">
        <w:t>Синара</w:t>
      </w:r>
      <w:r w:rsidR="00DE36C8" w:rsidRPr="00356C4C">
        <w:t>-</w:t>
      </w:r>
      <w:r w:rsidR="00EE3CBA" w:rsidRPr="00356C4C">
        <w:t>Девелопмент</w:t>
      </w:r>
      <w:proofErr w:type="spellEnd"/>
      <w:r w:rsidR="00A96756" w:rsidRPr="00356C4C">
        <w:t>, ООО «Малышева, 73»</w:t>
      </w:r>
      <w:r w:rsidR="00DE36C8" w:rsidRPr="00356C4C">
        <w:t>.</w:t>
      </w:r>
    </w:p>
    <w:p w:rsidR="008448A1" w:rsidRPr="00EE3CBA" w:rsidRDefault="008448A1" w:rsidP="007F26AC">
      <w:pPr>
        <w:ind w:firstLine="567"/>
        <w:jc w:val="both"/>
      </w:pPr>
    </w:p>
    <w:p w:rsidR="00E947CF" w:rsidRPr="004270E3" w:rsidRDefault="009630A3" w:rsidP="00CF65B4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3" w:name="_Toc67038528"/>
      <w:bookmarkStart w:id="44" w:name="_Toc67038641"/>
      <w:r w:rsidRPr="004270E3">
        <w:rPr>
          <w:color w:val="auto"/>
          <w:sz w:val="24"/>
          <w:szCs w:val="24"/>
        </w:rPr>
        <w:t>П</w:t>
      </w:r>
      <w:r w:rsidR="00E947CF" w:rsidRPr="004270E3">
        <w:rPr>
          <w:color w:val="auto"/>
          <w:sz w:val="24"/>
          <w:szCs w:val="24"/>
        </w:rPr>
        <w:t>риоритетные направления деятельности общества</w:t>
      </w:r>
      <w:bookmarkEnd w:id="43"/>
      <w:bookmarkEnd w:id="44"/>
    </w:p>
    <w:p w:rsidR="00FD6101" w:rsidRPr="004270E3" w:rsidRDefault="00FD6101" w:rsidP="00884AB8"/>
    <w:p w:rsidR="009C0772" w:rsidRDefault="009C0772" w:rsidP="0077167F">
      <w:pPr>
        <w:ind w:firstLine="567"/>
        <w:jc w:val="both"/>
      </w:pPr>
      <w:r w:rsidRPr="004270E3">
        <w:t xml:space="preserve">В настоящий момент </w:t>
      </w:r>
      <w:r w:rsidR="00F87CF9">
        <w:t xml:space="preserve">эмитент </w:t>
      </w:r>
      <w:r w:rsidRPr="004270E3">
        <w:t xml:space="preserve">осуществляет мониторинг текущего состояния экономики, анализ отраслевых, финансовых рисков, также рисков, связанных с возможной деятельностью </w:t>
      </w:r>
      <w:r w:rsidR="00792C5E">
        <w:t>ОО</w:t>
      </w:r>
      <w:r w:rsidRPr="004270E3">
        <w:t>О «</w:t>
      </w:r>
      <w:r w:rsidR="00792C5E">
        <w:t>НПФ</w:t>
      </w:r>
      <w:r w:rsidRPr="004270E3">
        <w:t xml:space="preserve">». </w:t>
      </w:r>
    </w:p>
    <w:p w:rsidR="009D29AD" w:rsidRDefault="009D29AD" w:rsidP="0077167F">
      <w:pPr>
        <w:ind w:firstLine="567"/>
        <w:jc w:val="both"/>
      </w:pPr>
      <w:r w:rsidRPr="009D29AD">
        <w:t>В соответствии со ст. 2.1. устава эмитента:</w:t>
      </w:r>
      <w:r w:rsidR="0077167F">
        <w:t xml:space="preserve"> </w:t>
      </w:r>
      <w:r w:rsidRPr="009D29AD">
        <w:t>Целями деятельности Общества являются расширение рынка товаров и услуг, извлечение прибыли.</w:t>
      </w:r>
      <w:r w:rsidR="0077167F">
        <w:t xml:space="preserve"> </w:t>
      </w:r>
      <w:r w:rsidRPr="009D29AD">
        <w:t>Эмитент создан для следующей деятельности (ст.2.2. устава):</w:t>
      </w:r>
    </w:p>
    <w:p w:rsidR="009D29AD" w:rsidRDefault="009D29AD" w:rsidP="0077167F">
      <w:pPr>
        <w:ind w:firstLine="567"/>
        <w:jc w:val="both"/>
      </w:pPr>
      <w:r>
        <w:t>Общество вправе осуществлять любые виды деятельности, не запрещенные законом. Предметом деятельности Общества являются:</w:t>
      </w:r>
    </w:p>
    <w:p w:rsidR="009D29AD" w:rsidRDefault="009D29AD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Подготовка к продаже, покупка и продажа собственного недвижимого имущества (жилого и нежилого недвижимого имущества (в том числе помещений, зданий и сооружений), земельных участков);</w:t>
      </w:r>
    </w:p>
    <w:p w:rsidR="009D29AD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Сдача внаем собственного недвижимого имущества (жилого и нежилого);</w:t>
      </w:r>
    </w:p>
    <w:p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Управление недвижимым имуществом;</w:t>
      </w:r>
    </w:p>
    <w:p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lastRenderedPageBreak/>
        <w:t>Деятельность в области права, консультирование по вопросам коммерческой деятельности и управления предприятием;</w:t>
      </w:r>
    </w:p>
    <w:p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Исследование конъюнктуры рынка и выявление общественного мнения;</w:t>
      </w:r>
    </w:p>
    <w:p w:rsidR="00FB1429" w:rsidRDefault="00FB1429" w:rsidP="00C43D85">
      <w:pPr>
        <w:numPr>
          <w:ilvl w:val="0"/>
          <w:numId w:val="38"/>
        </w:numPr>
        <w:tabs>
          <w:tab w:val="left" w:pos="851"/>
        </w:tabs>
        <w:ind w:left="851" w:hanging="284"/>
        <w:jc w:val="both"/>
      </w:pPr>
      <w:r>
        <w:t>Осуществление других работ и оказание других услуг, не запрещенных и не противоречащих действующему законодательству РФ.</w:t>
      </w:r>
    </w:p>
    <w:p w:rsidR="00F87CF9" w:rsidRDefault="00F87CF9" w:rsidP="00C43D85">
      <w:pPr>
        <w:tabs>
          <w:tab w:val="left" w:pos="1276"/>
        </w:tabs>
        <w:ind w:firstLine="567"/>
        <w:jc w:val="both"/>
      </w:pPr>
    </w:p>
    <w:p w:rsidR="00FD6101" w:rsidRPr="000249CB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5" w:name="_Toc67038529"/>
      <w:bookmarkStart w:id="46" w:name="_Toc67038642"/>
      <w:r w:rsidRPr="000249CB">
        <w:rPr>
          <w:color w:val="auto"/>
          <w:sz w:val="24"/>
          <w:szCs w:val="24"/>
        </w:rPr>
        <w:t>О</w:t>
      </w:r>
      <w:r w:rsidR="00E947CF" w:rsidRPr="000249CB">
        <w:rPr>
          <w:color w:val="auto"/>
          <w:sz w:val="24"/>
          <w:szCs w:val="24"/>
        </w:rPr>
        <w:t>тчет о результатах развития общества по приоритетны</w:t>
      </w:r>
      <w:r w:rsidRPr="000249CB">
        <w:rPr>
          <w:color w:val="auto"/>
          <w:sz w:val="24"/>
          <w:szCs w:val="24"/>
        </w:rPr>
        <w:t>м направлениям его деятельности</w:t>
      </w:r>
      <w:bookmarkEnd w:id="45"/>
      <w:bookmarkEnd w:id="46"/>
    </w:p>
    <w:p w:rsidR="00FD6101" w:rsidRPr="004270E3" w:rsidRDefault="00FD6101" w:rsidP="00884AB8">
      <w:pPr>
        <w:ind w:firstLine="567"/>
      </w:pPr>
    </w:p>
    <w:p w:rsidR="008B6C09" w:rsidRDefault="009173B0" w:rsidP="00392325">
      <w:pPr>
        <w:spacing w:after="120"/>
        <w:ind w:firstLine="567"/>
        <w:jc w:val="both"/>
      </w:pPr>
      <w:r w:rsidRPr="004270E3">
        <w:t>Совет</w:t>
      </w:r>
      <w:r>
        <w:t xml:space="preserve"> директоров </w:t>
      </w:r>
      <w:r w:rsidR="00F87CF9">
        <w:t xml:space="preserve">учредительными документами </w:t>
      </w:r>
      <w:r>
        <w:t>ООО «НПФ» не предусмотрен.</w:t>
      </w:r>
    </w:p>
    <w:p w:rsidR="001F64D4" w:rsidRPr="009F63EF" w:rsidRDefault="001F64D4" w:rsidP="001F64D4">
      <w:pPr>
        <w:ind w:firstLine="567"/>
        <w:jc w:val="both"/>
      </w:pPr>
      <w:r w:rsidRPr="001F64D4">
        <w:t xml:space="preserve">Финансовый </w:t>
      </w:r>
      <w:r w:rsidRPr="009F63EF">
        <w:t>результат, полученный от основного вида деятельности в 202</w:t>
      </w:r>
      <w:r w:rsidR="001F1E39">
        <w:t>1</w:t>
      </w:r>
      <w:r w:rsidRPr="009F63EF">
        <w:t xml:space="preserve"> году составил</w:t>
      </w:r>
      <w:r w:rsidR="00AF0421" w:rsidRPr="009F63EF">
        <w:t xml:space="preserve"> </w:t>
      </w:r>
      <w:r w:rsidR="0033327D" w:rsidRPr="0033327D">
        <w:t>830,87</w:t>
      </w:r>
      <w:r w:rsidRPr="009F63EF">
        <w:t xml:space="preserve"> тыс.</w:t>
      </w:r>
      <w:r w:rsidR="0033327D">
        <w:t xml:space="preserve"> </w:t>
      </w:r>
      <w:r w:rsidRPr="009F63EF">
        <w:t>руб., в 20</w:t>
      </w:r>
      <w:r w:rsidR="001F1E39">
        <w:t>20</w:t>
      </w:r>
      <w:r w:rsidRPr="009F63EF">
        <w:t xml:space="preserve"> году </w:t>
      </w:r>
      <w:r w:rsidR="001F1E39" w:rsidRPr="009F63EF">
        <w:t xml:space="preserve">112,94 </w:t>
      </w:r>
      <w:r w:rsidRPr="009F63EF">
        <w:t>тыс.</w:t>
      </w:r>
      <w:r w:rsidR="0033327D">
        <w:t xml:space="preserve"> </w:t>
      </w:r>
      <w:r w:rsidRPr="009F63EF">
        <w:t>руб.</w:t>
      </w:r>
    </w:p>
    <w:p w:rsidR="001F64D4" w:rsidRDefault="001F64D4" w:rsidP="001F64D4">
      <w:pPr>
        <w:ind w:firstLine="567"/>
        <w:jc w:val="both"/>
      </w:pPr>
      <w:r w:rsidRPr="009F63EF">
        <w:t>Сумма прочих доходов для целей бухгалтерского учета в 202</w:t>
      </w:r>
      <w:r w:rsidR="00502600">
        <w:t>1</w:t>
      </w:r>
      <w:r w:rsidRPr="009F63EF">
        <w:t xml:space="preserve"> году составила </w:t>
      </w:r>
      <w:r w:rsidR="00F25D11" w:rsidRPr="00F25D11">
        <w:t>2 707,64</w:t>
      </w:r>
      <w:r w:rsidRPr="008E6FD5">
        <w:t xml:space="preserve"> </w:t>
      </w:r>
      <w:r w:rsidRPr="009F63EF">
        <w:t>тыс. руб., в 20</w:t>
      </w:r>
      <w:r w:rsidR="001F1E39">
        <w:t>20</w:t>
      </w:r>
      <w:r w:rsidRPr="009F63EF">
        <w:t xml:space="preserve"> году составила </w:t>
      </w:r>
      <w:r w:rsidR="001F1E39" w:rsidRPr="009F63EF">
        <w:t>108 059,23</w:t>
      </w:r>
      <w:r w:rsidR="001F1E39" w:rsidRPr="008E6FD5">
        <w:t xml:space="preserve"> </w:t>
      </w:r>
      <w:r w:rsidRPr="009F63EF">
        <w:t>тыс.</w:t>
      </w:r>
      <w:r w:rsidR="00F25D11">
        <w:t xml:space="preserve"> </w:t>
      </w:r>
      <w:r w:rsidRPr="009F63EF">
        <w:t>руб.</w:t>
      </w:r>
    </w:p>
    <w:p w:rsidR="001F64D4" w:rsidRDefault="001F64D4" w:rsidP="001F64D4">
      <w:pPr>
        <w:ind w:firstLine="567"/>
        <w:jc w:val="both"/>
      </w:pPr>
    </w:p>
    <w:tbl>
      <w:tblPr>
        <w:tblW w:w="10027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1"/>
        <w:gridCol w:w="1842"/>
        <w:gridCol w:w="1842"/>
        <w:gridCol w:w="1536"/>
        <w:gridCol w:w="1106"/>
      </w:tblGrid>
      <w:tr w:rsidR="001F1E39" w:rsidRPr="001F64D4" w:rsidTr="001F1E39">
        <w:trPr>
          <w:trHeight w:val="858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t> </w:t>
            </w:r>
            <w:r w:rsidRPr="001F64D4">
              <w:rPr>
                <w:b/>
                <w:bCs/>
              </w:rPr>
              <w:t>Прочие доходы</w:t>
            </w:r>
          </w:p>
        </w:tc>
        <w:tc>
          <w:tcPr>
            <w:tcW w:w="1842" w:type="dxa"/>
          </w:tcPr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>Обороты за период 2020г.</w:t>
            </w:r>
          </w:p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1F64D4">
              <w:rPr>
                <w:b/>
                <w:bCs/>
              </w:rPr>
              <w:t>руб.</w:t>
            </w:r>
            <w:r w:rsidRPr="001F64D4">
              <w:t> </w:t>
            </w:r>
          </w:p>
        </w:tc>
        <w:tc>
          <w:tcPr>
            <w:tcW w:w="1842" w:type="dxa"/>
          </w:tcPr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>Обороты за период 202</w:t>
            </w:r>
            <w:r>
              <w:rPr>
                <w:b/>
                <w:bCs/>
              </w:rPr>
              <w:t>1</w:t>
            </w:r>
            <w:r w:rsidRPr="001F64D4">
              <w:rPr>
                <w:b/>
                <w:bCs/>
              </w:rPr>
              <w:t>г.</w:t>
            </w:r>
          </w:p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F64D4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1F64D4">
              <w:rPr>
                <w:b/>
                <w:bCs/>
              </w:rPr>
              <w:t>руб.</w:t>
            </w:r>
            <w:r w:rsidRPr="001F64D4">
              <w:t> 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>Отклонение</w:t>
            </w:r>
          </w:p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>тыс. руб.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 xml:space="preserve">№ строки </w:t>
            </w:r>
          </w:p>
          <w:p w:rsidR="001F1E39" w:rsidRPr="001F64D4" w:rsidRDefault="001F1E39" w:rsidP="001F1E39">
            <w:pPr>
              <w:pStyle w:val="af4"/>
              <w:spacing w:before="0" w:beforeAutospacing="0" w:after="0" w:afterAutospacing="0"/>
              <w:jc w:val="center"/>
            </w:pPr>
            <w:r w:rsidRPr="001F64D4">
              <w:rPr>
                <w:b/>
                <w:bCs/>
              </w:rPr>
              <w:t>в ОФР</w:t>
            </w:r>
          </w:p>
        </w:tc>
      </w:tr>
      <w:tr w:rsidR="00F34972" w:rsidRPr="001F64D4" w:rsidTr="004F0D10">
        <w:trPr>
          <w:trHeight w:val="195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t xml:space="preserve">Доход от погашения облигаций в рамках оферты 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34 200,00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-34 200,00 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2340</w:t>
            </w:r>
          </w:p>
        </w:tc>
      </w:tr>
      <w:tr w:rsidR="00F34972" w:rsidRPr="001F64D4" w:rsidTr="004F0D10">
        <w:trPr>
          <w:trHeight w:val="510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>
              <w:t>Доход от продажи</w:t>
            </w:r>
            <w:r w:rsidRPr="001F64D4">
              <w:t xml:space="preserve"> ценных</w:t>
            </w:r>
            <w:r>
              <w:t xml:space="preserve"> </w:t>
            </w:r>
            <w:r w:rsidRPr="001F64D4">
              <w:t>бумаг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48 335,34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783,07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- 47 552,27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2340</w:t>
            </w:r>
          </w:p>
        </w:tc>
      </w:tr>
      <w:tr w:rsidR="00F34972" w:rsidRPr="001F64D4" w:rsidTr="004F0D10">
        <w:trPr>
          <w:trHeight w:val="60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t xml:space="preserve">Проценты к получению 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793,95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780,53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- 13,42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2320</w:t>
            </w:r>
          </w:p>
        </w:tc>
      </w:tr>
      <w:tr w:rsidR="00F34972" w:rsidRPr="001F64D4" w:rsidTr="004F0D10">
        <w:trPr>
          <w:trHeight w:val="135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t>Проценты по депозитам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89,40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- 89,40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2320</w:t>
            </w:r>
          </w:p>
        </w:tc>
      </w:tr>
      <w:tr w:rsidR="00F34972" w:rsidRPr="001F64D4" w:rsidTr="004F0D10">
        <w:trPr>
          <w:trHeight w:val="120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t>Накопленный купонный доход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3 450,04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750,73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- 2 699,31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2340</w:t>
            </w:r>
          </w:p>
        </w:tc>
      </w:tr>
      <w:tr w:rsidR="00F34972" w:rsidRPr="001F64D4" w:rsidTr="004F0D10">
        <w:trPr>
          <w:trHeight w:val="225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>
              <w:t xml:space="preserve">Купонный доход по выкупу </w:t>
            </w:r>
            <w:r w:rsidRPr="001F64D4">
              <w:t>облигаций в рамках оферты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19 798,72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- 19 798,72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2340</w:t>
            </w:r>
          </w:p>
        </w:tc>
      </w:tr>
      <w:tr w:rsidR="00F34972" w:rsidRPr="001F64D4" w:rsidTr="004F0D10">
        <w:trPr>
          <w:trHeight w:val="465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t>Положительная переоценка по ценным бумагам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1 391,78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393,31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- 998,47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2340</w:t>
            </w:r>
          </w:p>
        </w:tc>
      </w:tr>
      <w:tr w:rsidR="00F34972" w:rsidRPr="001F64D4" w:rsidTr="004F0D10">
        <w:trPr>
          <w:trHeight w:val="240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t>Прочие доходы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t>0,00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F34972">
              <w:t>- 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6B1D6C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6B1D6C">
              <w:rPr>
                <w:bCs/>
              </w:rPr>
              <w:t>2350</w:t>
            </w:r>
          </w:p>
        </w:tc>
      </w:tr>
      <w:tr w:rsidR="00F34972" w:rsidRPr="001F64D4" w:rsidTr="00794BDF">
        <w:trPr>
          <w:trHeight w:val="60"/>
        </w:trPr>
        <w:tc>
          <w:tcPr>
            <w:tcW w:w="3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</w:pPr>
            <w:r w:rsidRPr="001F64D4">
              <w:rPr>
                <w:b/>
                <w:bCs/>
              </w:rPr>
              <w:t>Итого</w:t>
            </w:r>
          </w:p>
        </w:tc>
        <w:tc>
          <w:tcPr>
            <w:tcW w:w="1842" w:type="dxa"/>
            <w:vAlign w:val="center"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rPr>
                <w:b/>
                <w:bCs/>
              </w:rPr>
              <w:t>108 059,23</w:t>
            </w:r>
          </w:p>
        </w:tc>
        <w:tc>
          <w:tcPr>
            <w:tcW w:w="1842" w:type="dxa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F34972">
              <w:rPr>
                <w:b/>
                <w:bCs/>
              </w:rPr>
              <w:t>2 707,64</w:t>
            </w:r>
          </w:p>
        </w:tc>
        <w:tc>
          <w:tcPr>
            <w:tcW w:w="15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4972" w:rsidRPr="00F34972" w:rsidRDefault="00F34972" w:rsidP="00F34972">
            <w:pPr>
              <w:pStyle w:val="af4"/>
              <w:spacing w:before="0" w:beforeAutospacing="0" w:after="0" w:afterAutospacing="0"/>
              <w:jc w:val="right"/>
              <w:rPr>
                <w:b/>
                <w:bCs/>
              </w:rPr>
            </w:pPr>
            <w:r w:rsidRPr="00F34972">
              <w:rPr>
                <w:b/>
                <w:bCs/>
              </w:rPr>
              <w:t>- 105 351,59</w:t>
            </w:r>
          </w:p>
        </w:tc>
        <w:tc>
          <w:tcPr>
            <w:tcW w:w="11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4972" w:rsidRPr="001F64D4" w:rsidRDefault="00F34972" w:rsidP="00F34972">
            <w:pPr>
              <w:pStyle w:val="af4"/>
              <w:spacing w:before="0" w:beforeAutospacing="0" w:after="0" w:afterAutospacing="0"/>
              <w:jc w:val="right"/>
            </w:pPr>
            <w:r w:rsidRPr="001F64D4">
              <w:rPr>
                <w:b/>
                <w:bCs/>
              </w:rPr>
              <w:t> </w:t>
            </w:r>
          </w:p>
        </w:tc>
      </w:tr>
    </w:tbl>
    <w:p w:rsidR="001F64D4" w:rsidRDefault="001F64D4" w:rsidP="001F64D4">
      <w:r>
        <w:t> </w:t>
      </w:r>
    </w:p>
    <w:p w:rsidR="00C1147D" w:rsidRPr="00C1147D" w:rsidRDefault="00C1147D" w:rsidP="00C1147D">
      <w:pPr>
        <w:ind w:firstLine="567"/>
        <w:jc w:val="both"/>
      </w:pPr>
      <w:r w:rsidRPr="00C1147D">
        <w:t>По итогам работы за 2021 год дебиторская задолженность увеличилась на 1 583 тыс. руб. в частности за счет начисленных процентов в сумме 762,5 тыс. руб. по договору займа, предоставленного компании ООО «</w:t>
      </w:r>
      <w:proofErr w:type="spellStart"/>
      <w:r w:rsidRPr="00C1147D">
        <w:t>Мэйз</w:t>
      </w:r>
      <w:proofErr w:type="spellEnd"/>
      <w:r w:rsidRPr="00C1147D">
        <w:t xml:space="preserve"> </w:t>
      </w:r>
      <w:proofErr w:type="spellStart"/>
      <w:r w:rsidRPr="00C1147D">
        <w:t>Риэлти</w:t>
      </w:r>
      <w:proofErr w:type="spellEnd"/>
      <w:r w:rsidRPr="00C1147D">
        <w:t xml:space="preserve">», по соглашению о брокерском обслуживании ООО «БК Регион» - 322 тыс. руб. </w:t>
      </w:r>
    </w:p>
    <w:p w:rsidR="00C1147D" w:rsidRPr="00C1147D" w:rsidRDefault="00C1147D" w:rsidP="00C1147D">
      <w:pPr>
        <w:ind w:firstLine="567"/>
        <w:jc w:val="both"/>
      </w:pPr>
      <w:r w:rsidRPr="00C1147D">
        <w:t xml:space="preserve">Финансовый результат, полученный в 2021 году составил 358 тыс. руб. (убыток). </w:t>
      </w:r>
    </w:p>
    <w:p w:rsidR="001F64D4" w:rsidRDefault="00C1147D" w:rsidP="00C1147D">
      <w:pPr>
        <w:ind w:firstLine="567"/>
        <w:jc w:val="both"/>
      </w:pPr>
      <w:r w:rsidRPr="00C1147D">
        <w:t xml:space="preserve">Чистая прибыль (убыток): </w:t>
      </w:r>
      <w:r w:rsidR="003A4175">
        <w:t>в</w:t>
      </w:r>
      <w:r w:rsidRPr="00C1147D">
        <w:t xml:space="preserve"> 2021</w:t>
      </w:r>
      <w:r w:rsidR="00BF7F47">
        <w:t xml:space="preserve"> </w:t>
      </w:r>
      <w:r w:rsidRPr="00C1147D">
        <w:t>г</w:t>
      </w:r>
      <w:r w:rsidR="00BF7F47">
        <w:t>.</w:t>
      </w:r>
      <w:r w:rsidRPr="00C1147D">
        <w:t xml:space="preserve"> получен убыток, который сформировался от прочей деятельности Общества, в частности в результате переоценки ценных бумаг, на конец 2021</w:t>
      </w:r>
      <w:r w:rsidR="00BF7F47">
        <w:t xml:space="preserve"> </w:t>
      </w:r>
      <w:r w:rsidRPr="00C1147D">
        <w:t>г</w:t>
      </w:r>
      <w:r w:rsidR="00BF7F47">
        <w:t>.</w:t>
      </w:r>
      <w:r w:rsidRPr="00C1147D">
        <w:t xml:space="preserve"> их стоимость снизилась.</w:t>
      </w:r>
    </w:p>
    <w:p w:rsidR="00AA5995" w:rsidRDefault="00AA5995" w:rsidP="00AA5995">
      <w:pPr>
        <w:ind w:firstLine="567"/>
        <w:jc w:val="both"/>
      </w:pPr>
    </w:p>
    <w:tbl>
      <w:tblPr>
        <w:tblW w:w="10039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1597"/>
        <w:gridCol w:w="1701"/>
        <w:gridCol w:w="1615"/>
        <w:gridCol w:w="1326"/>
        <w:gridCol w:w="1271"/>
      </w:tblGrid>
      <w:tr w:rsidR="00E46EBD" w:rsidRPr="000C122F" w:rsidTr="006B35FC">
        <w:trPr>
          <w:trHeight w:val="255"/>
        </w:trPr>
        <w:tc>
          <w:tcPr>
            <w:tcW w:w="252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6EBD" w:rsidRPr="000C122F" w:rsidRDefault="00E46EBD">
            <w:pPr>
              <w:pStyle w:val="af4"/>
              <w:jc w:val="center"/>
              <w:rPr>
                <w:b/>
              </w:rPr>
            </w:pPr>
            <w:r w:rsidRPr="000C122F">
              <w:rPr>
                <w:b/>
                <w:bCs/>
                <w:iCs/>
              </w:rPr>
              <w:t>Показатель</w:t>
            </w:r>
          </w:p>
        </w:tc>
        <w:tc>
          <w:tcPr>
            <w:tcW w:w="4913" w:type="dxa"/>
            <w:gridSpan w:val="3"/>
          </w:tcPr>
          <w:p w:rsidR="00E46EBD" w:rsidRPr="000C122F" w:rsidRDefault="00E46EBD">
            <w:pPr>
              <w:pStyle w:val="af4"/>
              <w:jc w:val="center"/>
              <w:rPr>
                <w:b/>
              </w:rPr>
            </w:pPr>
            <w:r w:rsidRPr="000C122F">
              <w:rPr>
                <w:b/>
                <w:bCs/>
                <w:iCs/>
              </w:rPr>
              <w:t>Значение показателя</w:t>
            </w:r>
          </w:p>
        </w:tc>
        <w:tc>
          <w:tcPr>
            <w:tcW w:w="259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46EBD" w:rsidRPr="000C122F" w:rsidRDefault="00E46EBD">
            <w:pPr>
              <w:pStyle w:val="af4"/>
              <w:jc w:val="center"/>
              <w:rPr>
                <w:b/>
              </w:rPr>
            </w:pPr>
            <w:r w:rsidRPr="000C122F">
              <w:rPr>
                <w:b/>
                <w:bCs/>
                <w:iCs/>
              </w:rPr>
              <w:t>Изменение</w:t>
            </w:r>
            <w:r w:rsidR="008A5DDA">
              <w:rPr>
                <w:b/>
                <w:bCs/>
                <w:iCs/>
              </w:rPr>
              <w:t xml:space="preserve"> за год</w:t>
            </w:r>
          </w:p>
        </w:tc>
      </w:tr>
      <w:tr w:rsidR="00794BDF" w:rsidRPr="000C122F" w:rsidTr="00E46EBD">
        <w:trPr>
          <w:trHeight w:val="255"/>
        </w:trPr>
        <w:tc>
          <w:tcPr>
            <w:tcW w:w="2529" w:type="dxa"/>
            <w:vMerge/>
            <w:hideMark/>
          </w:tcPr>
          <w:p w:rsidR="00794BDF" w:rsidRPr="000C122F" w:rsidRDefault="00794BDF" w:rsidP="00794BDF">
            <w:pPr>
              <w:rPr>
                <w:rFonts w:eastAsia="Calibri"/>
              </w:rPr>
            </w:pPr>
          </w:p>
        </w:tc>
        <w:tc>
          <w:tcPr>
            <w:tcW w:w="1597" w:type="dxa"/>
          </w:tcPr>
          <w:p w:rsidR="00794BDF" w:rsidRPr="00D96C79" w:rsidRDefault="00794BDF" w:rsidP="00794BDF">
            <w:pPr>
              <w:pStyle w:val="af4"/>
              <w:jc w:val="center"/>
              <w:rPr>
                <w:b/>
              </w:rPr>
            </w:pPr>
            <w:r w:rsidRPr="00D96C79">
              <w:rPr>
                <w:b/>
                <w:bCs/>
                <w:iCs/>
              </w:rPr>
              <w:t>31.12.2019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D96C79" w:rsidRDefault="00794BDF" w:rsidP="00794BDF">
            <w:pPr>
              <w:pStyle w:val="af4"/>
              <w:jc w:val="center"/>
              <w:rPr>
                <w:b/>
              </w:rPr>
            </w:pPr>
            <w:r w:rsidRPr="00D96C79">
              <w:rPr>
                <w:b/>
                <w:bCs/>
                <w:iCs/>
              </w:rPr>
              <w:t>31.12.2020</w:t>
            </w:r>
          </w:p>
        </w:tc>
        <w:tc>
          <w:tcPr>
            <w:tcW w:w="161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D96C79" w:rsidRDefault="00794BDF" w:rsidP="00794BDF">
            <w:pPr>
              <w:pStyle w:val="af4"/>
              <w:jc w:val="center"/>
              <w:rPr>
                <w:b/>
              </w:rPr>
            </w:pPr>
            <w:r w:rsidRPr="00D96C79">
              <w:rPr>
                <w:b/>
                <w:bCs/>
                <w:iCs/>
              </w:rPr>
              <w:t>31.12.202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132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0C122F" w:rsidRDefault="00794BDF" w:rsidP="00794BDF">
            <w:pPr>
              <w:pStyle w:val="af4"/>
              <w:jc w:val="center"/>
            </w:pPr>
            <w:r w:rsidRPr="000C122F">
              <w:rPr>
                <w:bCs/>
                <w:iCs/>
              </w:rPr>
              <w:t> </w:t>
            </w:r>
          </w:p>
        </w:tc>
        <w:tc>
          <w:tcPr>
            <w:tcW w:w="12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0C122F" w:rsidRDefault="00794BDF" w:rsidP="00794BDF">
            <w:pPr>
              <w:pStyle w:val="af4"/>
              <w:jc w:val="center"/>
            </w:pPr>
            <w:r w:rsidRPr="000C122F">
              <w:rPr>
                <w:bCs/>
                <w:iCs/>
              </w:rPr>
              <w:t> </w:t>
            </w:r>
          </w:p>
        </w:tc>
      </w:tr>
      <w:tr w:rsidR="00794BDF" w:rsidRPr="000C122F" w:rsidTr="00E46EBD">
        <w:trPr>
          <w:trHeight w:val="255"/>
        </w:trPr>
        <w:tc>
          <w:tcPr>
            <w:tcW w:w="2529" w:type="dxa"/>
            <w:vMerge/>
            <w:hideMark/>
          </w:tcPr>
          <w:p w:rsidR="00794BDF" w:rsidRPr="000C122F" w:rsidRDefault="00794BDF" w:rsidP="00794BDF">
            <w:pPr>
              <w:rPr>
                <w:rFonts w:eastAsia="Calibri"/>
              </w:rPr>
            </w:pPr>
          </w:p>
        </w:tc>
        <w:tc>
          <w:tcPr>
            <w:tcW w:w="1597" w:type="dxa"/>
          </w:tcPr>
          <w:p w:rsidR="00794BDF" w:rsidRPr="000C122F" w:rsidRDefault="00794BDF" w:rsidP="00794BDF">
            <w:pPr>
              <w:pStyle w:val="af4"/>
              <w:jc w:val="center"/>
            </w:pPr>
            <w:proofErr w:type="spellStart"/>
            <w:r w:rsidRPr="000C122F">
              <w:rPr>
                <w:bCs/>
                <w:iCs/>
              </w:rPr>
              <w:t>тыс.руб</w:t>
            </w:r>
            <w:proofErr w:type="spellEnd"/>
            <w:r w:rsidRPr="000C122F">
              <w:rPr>
                <w:bCs/>
                <w:iCs/>
              </w:rPr>
              <w:t>.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0C122F" w:rsidRDefault="00794BDF" w:rsidP="00794BDF">
            <w:pPr>
              <w:pStyle w:val="af4"/>
              <w:jc w:val="center"/>
            </w:pPr>
            <w:proofErr w:type="spellStart"/>
            <w:r w:rsidRPr="000C122F">
              <w:rPr>
                <w:bCs/>
                <w:iCs/>
              </w:rPr>
              <w:t>тыс.руб</w:t>
            </w:r>
            <w:proofErr w:type="spellEnd"/>
            <w:r w:rsidRPr="000C122F">
              <w:rPr>
                <w:bCs/>
                <w:iCs/>
              </w:rPr>
              <w:t>.</w:t>
            </w:r>
          </w:p>
        </w:tc>
        <w:tc>
          <w:tcPr>
            <w:tcW w:w="161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0C122F" w:rsidRDefault="00794BDF" w:rsidP="00794BDF">
            <w:pPr>
              <w:pStyle w:val="af4"/>
              <w:jc w:val="center"/>
            </w:pPr>
            <w:proofErr w:type="spellStart"/>
            <w:r w:rsidRPr="000C122F">
              <w:rPr>
                <w:bCs/>
                <w:iCs/>
              </w:rPr>
              <w:t>тыс.руб</w:t>
            </w:r>
            <w:proofErr w:type="spellEnd"/>
            <w:r w:rsidRPr="000C122F">
              <w:rPr>
                <w:bCs/>
                <w:iCs/>
              </w:rPr>
              <w:t>.</w:t>
            </w:r>
          </w:p>
        </w:tc>
        <w:tc>
          <w:tcPr>
            <w:tcW w:w="132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0C122F" w:rsidRDefault="00794BDF" w:rsidP="00794BDF">
            <w:pPr>
              <w:pStyle w:val="af4"/>
              <w:jc w:val="center"/>
            </w:pPr>
            <w:proofErr w:type="spellStart"/>
            <w:r w:rsidRPr="000C122F">
              <w:rPr>
                <w:bCs/>
                <w:iCs/>
              </w:rPr>
              <w:t>тыс.руб</w:t>
            </w:r>
            <w:proofErr w:type="spellEnd"/>
            <w:r w:rsidRPr="000C122F">
              <w:rPr>
                <w:bCs/>
                <w:iCs/>
              </w:rPr>
              <w:t>.</w:t>
            </w:r>
          </w:p>
        </w:tc>
        <w:tc>
          <w:tcPr>
            <w:tcW w:w="127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4BDF" w:rsidRPr="000C122F" w:rsidRDefault="00794BDF" w:rsidP="00794BDF">
            <w:pPr>
              <w:pStyle w:val="af4"/>
              <w:jc w:val="center"/>
            </w:pPr>
            <w:r w:rsidRPr="000C122F">
              <w:rPr>
                <w:bCs/>
                <w:iCs/>
              </w:rPr>
              <w:t>%</w:t>
            </w:r>
          </w:p>
        </w:tc>
      </w:tr>
      <w:tr w:rsidR="00D125ED" w:rsidRPr="000C122F" w:rsidTr="00794BDF">
        <w:trPr>
          <w:trHeight w:val="60"/>
        </w:trPr>
        <w:tc>
          <w:tcPr>
            <w:tcW w:w="2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5ED" w:rsidRPr="000C122F" w:rsidRDefault="00D125ED" w:rsidP="00D125ED">
            <w:pPr>
              <w:pStyle w:val="af4"/>
            </w:pPr>
            <w:r w:rsidRPr="000C122F">
              <w:rPr>
                <w:iCs/>
              </w:rPr>
              <w:t>Чистые активы</w:t>
            </w:r>
          </w:p>
        </w:tc>
        <w:tc>
          <w:tcPr>
            <w:tcW w:w="1597" w:type="dxa"/>
            <w:vAlign w:val="center"/>
          </w:tcPr>
          <w:p w:rsidR="00D125ED" w:rsidRPr="000C122F" w:rsidRDefault="00D125ED" w:rsidP="00D125ED">
            <w:pPr>
              <w:pStyle w:val="af4"/>
              <w:jc w:val="center"/>
            </w:pPr>
            <w:r w:rsidRPr="000C122F">
              <w:t>61 848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5ED" w:rsidRPr="000C122F" w:rsidRDefault="00D125ED" w:rsidP="00D125ED">
            <w:pPr>
              <w:pStyle w:val="af4"/>
              <w:jc w:val="center"/>
            </w:pPr>
            <w:r w:rsidRPr="000C122F">
              <w:t xml:space="preserve">71 </w:t>
            </w:r>
            <w:r>
              <w:t>796</w:t>
            </w:r>
          </w:p>
        </w:tc>
        <w:tc>
          <w:tcPr>
            <w:tcW w:w="16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71 438</w:t>
            </w:r>
          </w:p>
        </w:tc>
        <w:tc>
          <w:tcPr>
            <w:tcW w:w="1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 xml:space="preserve">- 358 </w:t>
            </w:r>
          </w:p>
        </w:tc>
        <w:tc>
          <w:tcPr>
            <w:tcW w:w="12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0,5</w:t>
            </w:r>
          </w:p>
        </w:tc>
      </w:tr>
      <w:tr w:rsidR="00D125ED" w:rsidRPr="000C122F" w:rsidTr="00794BDF">
        <w:trPr>
          <w:trHeight w:val="60"/>
        </w:trPr>
        <w:tc>
          <w:tcPr>
            <w:tcW w:w="2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5ED" w:rsidRPr="000C122F" w:rsidRDefault="00D125ED" w:rsidP="00D125ED">
            <w:pPr>
              <w:pStyle w:val="af4"/>
            </w:pPr>
            <w:r w:rsidRPr="000C122F">
              <w:rPr>
                <w:iCs/>
              </w:rPr>
              <w:t>Уставной капитал</w:t>
            </w:r>
          </w:p>
        </w:tc>
        <w:tc>
          <w:tcPr>
            <w:tcW w:w="1597" w:type="dxa"/>
            <w:vAlign w:val="center"/>
          </w:tcPr>
          <w:p w:rsidR="00D125ED" w:rsidRPr="000C122F" w:rsidRDefault="00D125ED" w:rsidP="00D125ED">
            <w:pPr>
              <w:pStyle w:val="af4"/>
              <w:jc w:val="center"/>
            </w:pPr>
            <w:r w:rsidRPr="000C122F">
              <w:t>80 012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5ED" w:rsidRPr="000C122F" w:rsidRDefault="00D125ED" w:rsidP="00D125ED">
            <w:pPr>
              <w:pStyle w:val="af4"/>
              <w:jc w:val="center"/>
            </w:pPr>
            <w:r w:rsidRPr="000C122F">
              <w:t>80 012</w:t>
            </w:r>
          </w:p>
        </w:tc>
        <w:tc>
          <w:tcPr>
            <w:tcW w:w="16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80 012</w:t>
            </w:r>
          </w:p>
        </w:tc>
        <w:tc>
          <w:tcPr>
            <w:tcW w:w="1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-</w:t>
            </w:r>
          </w:p>
        </w:tc>
        <w:tc>
          <w:tcPr>
            <w:tcW w:w="12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</w:p>
        </w:tc>
      </w:tr>
      <w:tr w:rsidR="00D125ED" w:rsidRPr="000C122F" w:rsidTr="00794BDF">
        <w:trPr>
          <w:trHeight w:val="840"/>
        </w:trPr>
        <w:tc>
          <w:tcPr>
            <w:tcW w:w="252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5ED" w:rsidRPr="000C122F" w:rsidRDefault="00D125ED" w:rsidP="00D125ED">
            <w:pPr>
              <w:pStyle w:val="af4"/>
            </w:pPr>
            <w:r w:rsidRPr="000C122F">
              <w:rPr>
                <w:iCs/>
              </w:rPr>
              <w:t>Превышение чистых активов над уставным капиталом</w:t>
            </w:r>
          </w:p>
        </w:tc>
        <w:tc>
          <w:tcPr>
            <w:tcW w:w="1597" w:type="dxa"/>
            <w:vAlign w:val="center"/>
          </w:tcPr>
          <w:p w:rsidR="00D125ED" w:rsidRPr="000C122F" w:rsidRDefault="00D125ED" w:rsidP="00D125ED">
            <w:pPr>
              <w:pStyle w:val="af4"/>
              <w:jc w:val="center"/>
            </w:pPr>
            <w:r w:rsidRPr="000C122F">
              <w:t>-18 164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25ED" w:rsidRPr="000C122F" w:rsidRDefault="00D125ED" w:rsidP="00D125ED">
            <w:pPr>
              <w:pStyle w:val="af4"/>
              <w:jc w:val="center"/>
            </w:pPr>
            <w:r w:rsidRPr="000C122F">
              <w:t xml:space="preserve">-8 </w:t>
            </w:r>
            <w:r>
              <w:t>216</w:t>
            </w:r>
          </w:p>
        </w:tc>
        <w:tc>
          <w:tcPr>
            <w:tcW w:w="16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8 574</w:t>
            </w:r>
          </w:p>
        </w:tc>
        <w:tc>
          <w:tcPr>
            <w:tcW w:w="13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-358</w:t>
            </w:r>
          </w:p>
        </w:tc>
        <w:tc>
          <w:tcPr>
            <w:tcW w:w="12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25ED" w:rsidRPr="00D125ED" w:rsidRDefault="00D125ED" w:rsidP="00D125ED">
            <w:pPr>
              <w:pStyle w:val="af4"/>
              <w:jc w:val="center"/>
            </w:pPr>
            <w:r w:rsidRPr="00D125ED">
              <w:t>0,5</w:t>
            </w:r>
          </w:p>
        </w:tc>
      </w:tr>
    </w:tbl>
    <w:p w:rsidR="001F64D4" w:rsidRPr="000C122F" w:rsidRDefault="001F64D4" w:rsidP="000C122F">
      <w:pPr>
        <w:ind w:firstLine="567"/>
        <w:jc w:val="both"/>
      </w:pPr>
      <w:r>
        <w:t> </w:t>
      </w:r>
    </w:p>
    <w:p w:rsidR="0070179A" w:rsidRPr="0070179A" w:rsidRDefault="0070179A" w:rsidP="0070179A">
      <w:pPr>
        <w:ind w:firstLine="567"/>
        <w:jc w:val="both"/>
      </w:pPr>
      <w:r w:rsidRPr="0070179A">
        <w:t>На конец отчетного периода не соблюдается базовое законодательное требование к величине чистых активов. В феврале 2022 г</w:t>
      </w:r>
      <w:r w:rsidR="003A4175">
        <w:t>.</w:t>
      </w:r>
      <w:r w:rsidRPr="0070179A">
        <w:t xml:space="preserve"> зарегистрирована реорганизация в форме присоединения к ООО «НПФ» компании ООО «</w:t>
      </w:r>
      <w:proofErr w:type="spellStart"/>
      <w:r w:rsidRPr="0070179A">
        <w:t>Мэйз</w:t>
      </w:r>
      <w:proofErr w:type="spellEnd"/>
      <w:r w:rsidRPr="0070179A">
        <w:t xml:space="preserve"> </w:t>
      </w:r>
      <w:proofErr w:type="spellStart"/>
      <w:r w:rsidRPr="0070179A">
        <w:t>Риэлти</w:t>
      </w:r>
      <w:proofErr w:type="spellEnd"/>
      <w:r w:rsidRPr="0070179A">
        <w:t xml:space="preserve">» с положительными чистыми </w:t>
      </w:r>
      <w:r w:rsidR="003A4175">
        <w:lastRenderedPageBreak/>
        <w:t>активами более 2 млн. руб</w:t>
      </w:r>
      <w:r w:rsidRPr="0070179A">
        <w:t>. В результате реорганизации согласно подп. 1 п. 3.1 ст. 53 ФЗ «Об Обществах с ограниченной ответственностью» при присоединении ООО «</w:t>
      </w:r>
      <w:proofErr w:type="spellStart"/>
      <w:r w:rsidRPr="0070179A">
        <w:t>Мэйз</w:t>
      </w:r>
      <w:proofErr w:type="spellEnd"/>
      <w:r w:rsidRPr="0070179A">
        <w:t xml:space="preserve"> </w:t>
      </w:r>
      <w:proofErr w:type="spellStart"/>
      <w:r w:rsidRPr="0070179A">
        <w:t>Риэлти</w:t>
      </w:r>
      <w:proofErr w:type="spellEnd"/>
      <w:r w:rsidRPr="0070179A">
        <w:t>» произошло погашение принадлежащих присоединяемому обществу доли в уставном капитале ООО «НПФ» в размере 80</w:t>
      </w:r>
      <w:r w:rsidR="00BF7F47">
        <w:t> </w:t>
      </w:r>
      <w:r w:rsidRPr="0070179A">
        <w:t>000</w:t>
      </w:r>
      <w:r w:rsidR="00BF7F47">
        <w:t xml:space="preserve"> </w:t>
      </w:r>
      <w:r w:rsidRPr="0070179A">
        <w:t xml:space="preserve">тыс. руб. С 01 января 2022 года ООО «НПФ» перешло на новые правила учета объектов, предназначенных для сдачи в аренду, в составе инвестиционной недвижимости, оцениваемой по справедливой стоимости. Справедливая стоимость инвестиционной недвижимости ООО «НПФ» по состоянию на 01 января 2022 года превышает балансовую стоимость доходных вложений в материальные ценности ООО «НПФ» по состоянию на 31.12.2021 </w:t>
      </w:r>
      <w:r w:rsidR="00BF7F47">
        <w:t xml:space="preserve">г. </w:t>
      </w:r>
      <w:r w:rsidRPr="0070179A">
        <w:t xml:space="preserve">не менее, чем на 8 млн. руб. Таким образом, руководство оценивает, возможность соблюдения законодательного требования о превышении размера чистых активов над величиной уставного капитала положительной на дату выпуска данной бухгалтерской отчетности. </w:t>
      </w:r>
    </w:p>
    <w:p w:rsidR="001F64D4" w:rsidRDefault="001F64D4" w:rsidP="001F64D4">
      <w:pPr>
        <w:jc w:val="both"/>
      </w:pPr>
      <w:r>
        <w:t> </w:t>
      </w:r>
    </w:p>
    <w:p w:rsidR="00C97B30" w:rsidRPr="00E50592" w:rsidRDefault="00C97B30" w:rsidP="00E50592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7" w:name="_Toc67038530"/>
      <w:bookmarkStart w:id="48" w:name="_Toc67038643"/>
      <w:r w:rsidRPr="00E50592">
        <w:rPr>
          <w:color w:val="auto"/>
          <w:sz w:val="24"/>
          <w:szCs w:val="24"/>
        </w:rPr>
        <w:t>И</w:t>
      </w:r>
      <w:r w:rsidR="00FA7428" w:rsidRPr="00E50592">
        <w:rPr>
          <w:color w:val="auto"/>
          <w:sz w:val="24"/>
          <w:szCs w:val="24"/>
        </w:rPr>
        <w:t>нформация</w:t>
      </w:r>
      <w:r w:rsidRPr="00E50592">
        <w:rPr>
          <w:color w:val="auto"/>
          <w:sz w:val="24"/>
          <w:szCs w:val="24"/>
        </w:rPr>
        <w:t xml:space="preserve"> об объеме каждого из использованных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  <w:bookmarkEnd w:id="47"/>
      <w:bookmarkEnd w:id="48"/>
    </w:p>
    <w:p w:rsidR="00C97B30" w:rsidRPr="00C97B30" w:rsidRDefault="00C97B30" w:rsidP="00C97B30">
      <w:pPr>
        <w:pStyle w:val="af0"/>
        <w:spacing w:after="0"/>
        <w:jc w:val="both"/>
        <w:rPr>
          <w:b/>
          <w:lang w:val="ru-RU"/>
        </w:rPr>
      </w:pPr>
    </w:p>
    <w:p w:rsidR="00870B77" w:rsidRDefault="00870B77" w:rsidP="00877021">
      <w:pPr>
        <w:ind w:firstLine="567"/>
        <w:jc w:val="both"/>
      </w:pPr>
      <w:r>
        <w:t xml:space="preserve">В связи с тем, что </w:t>
      </w:r>
      <w:r w:rsidR="00F87CF9">
        <w:t>в 20</w:t>
      </w:r>
      <w:r w:rsidR="002943E5">
        <w:t>2</w:t>
      </w:r>
      <w:r w:rsidR="008E6FD5">
        <w:t>1</w:t>
      </w:r>
      <w:r w:rsidR="00F87CF9">
        <w:t xml:space="preserve"> г. </w:t>
      </w:r>
      <w:r>
        <w:t>организаци</w:t>
      </w:r>
      <w:r w:rsidR="00F87CF9">
        <w:t>я</w:t>
      </w:r>
      <w:r>
        <w:t xml:space="preserve"> </w:t>
      </w:r>
      <w:r w:rsidR="00F87CF9">
        <w:t xml:space="preserve">не осуществляла </w:t>
      </w:r>
      <w:r>
        <w:t>производство и реализаци</w:t>
      </w:r>
      <w:r w:rsidR="00F87CF9">
        <w:t>ю</w:t>
      </w:r>
      <w:r>
        <w:t xml:space="preserve"> товаров (работ, услуг)</w:t>
      </w:r>
      <w:r w:rsidR="00F87CF9">
        <w:t>,</w:t>
      </w:r>
      <w:r>
        <w:t xml:space="preserve"> </w:t>
      </w:r>
      <w:r w:rsidR="008D7DB0">
        <w:t>ОО</w:t>
      </w:r>
      <w:r>
        <w:t>О «</w:t>
      </w:r>
      <w:r w:rsidR="008D7DB0">
        <w:t>НПФ</w:t>
      </w:r>
      <w:r>
        <w:t>» потребление энергетических ресурсов не производило.</w:t>
      </w:r>
    </w:p>
    <w:p w:rsidR="00412472" w:rsidRDefault="009A11E5" w:rsidP="00412472">
      <w:pPr>
        <w:ind w:firstLine="567"/>
        <w:jc w:val="both"/>
      </w:pPr>
      <w:r w:rsidRPr="004270E3">
        <w:rPr>
          <w:snapToGrid w:val="0"/>
        </w:rPr>
        <w:t xml:space="preserve"> </w:t>
      </w:r>
    </w:p>
    <w:p w:rsidR="00412472" w:rsidRDefault="00412472" w:rsidP="00412472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49" w:name="_Toc67038531"/>
      <w:bookmarkStart w:id="50" w:name="_Toc67038644"/>
      <w:r>
        <w:rPr>
          <w:color w:val="auto"/>
          <w:sz w:val="24"/>
          <w:szCs w:val="24"/>
          <w:lang w:val="ru-RU"/>
        </w:rPr>
        <w:t>Перспективы</w:t>
      </w:r>
      <w:r w:rsidRPr="00E95233">
        <w:rPr>
          <w:color w:val="auto"/>
          <w:sz w:val="24"/>
          <w:szCs w:val="24"/>
        </w:rPr>
        <w:t xml:space="preserve"> развития общества</w:t>
      </w:r>
      <w:bookmarkEnd w:id="49"/>
      <w:bookmarkEnd w:id="50"/>
    </w:p>
    <w:p w:rsidR="00412472" w:rsidRDefault="00412472" w:rsidP="00412472">
      <w:pPr>
        <w:ind w:firstLine="567"/>
        <w:jc w:val="both"/>
      </w:pPr>
    </w:p>
    <w:p w:rsidR="00412472" w:rsidRDefault="00412472" w:rsidP="00412472">
      <w:pPr>
        <w:ind w:firstLine="567"/>
        <w:jc w:val="both"/>
      </w:pPr>
      <w:r w:rsidRPr="00CE64FA">
        <w:t xml:space="preserve">Общество планирует осуществлять управление недвижимым имуществом </w:t>
      </w:r>
      <w:r>
        <w:t>– сдач</w:t>
      </w:r>
      <w:r w:rsidR="00AB65EA">
        <w:t>у</w:t>
      </w:r>
      <w:r w:rsidRPr="00CE64FA">
        <w:t xml:space="preserve"> в аренду</w:t>
      </w:r>
      <w:r>
        <w:t xml:space="preserve"> </w:t>
      </w:r>
      <w:r w:rsidR="00AB65EA">
        <w:t xml:space="preserve">офисных </w:t>
      </w:r>
      <w:r>
        <w:t>помещений.</w:t>
      </w:r>
      <w:r w:rsidRPr="00CE64FA">
        <w:t xml:space="preserve"> Ряд принимаемых мер должен обеспечить рост эффективности и конкурентоспособности в сегментах коммерческой недвижимости</w:t>
      </w:r>
      <w:r w:rsidR="00952A12">
        <w:t>, в том числе сохранение существующих отношений с арендаторами, поиск новых клиентов, поддержание уровня оказываемых услуг</w:t>
      </w:r>
      <w:r w:rsidR="00AB65EA">
        <w:t>.</w:t>
      </w:r>
    </w:p>
    <w:p w:rsidR="00412472" w:rsidRPr="00E95233" w:rsidRDefault="00412472" w:rsidP="00412472">
      <w:pPr>
        <w:ind w:firstLine="567"/>
        <w:jc w:val="both"/>
      </w:pPr>
    </w:p>
    <w:p w:rsidR="00405FEF" w:rsidRPr="00405FEF" w:rsidRDefault="00405FEF" w:rsidP="00405FEF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  <w:lang w:val="ru-RU"/>
        </w:rPr>
      </w:pPr>
      <w:bookmarkStart w:id="51" w:name="_Toc67038532"/>
      <w:bookmarkStart w:id="52" w:name="_Toc67038645"/>
      <w:r w:rsidRPr="00405FEF">
        <w:rPr>
          <w:color w:val="auto"/>
          <w:sz w:val="24"/>
          <w:szCs w:val="24"/>
          <w:lang w:val="ru-RU"/>
        </w:rPr>
        <w:t>Выплата прибыли участникам</w:t>
      </w:r>
      <w:bookmarkEnd w:id="51"/>
      <w:bookmarkEnd w:id="52"/>
    </w:p>
    <w:p w:rsidR="00405FEF" w:rsidRDefault="00405FEF" w:rsidP="00405FEF">
      <w:pPr>
        <w:ind w:firstLine="567"/>
        <w:jc w:val="both"/>
      </w:pPr>
    </w:p>
    <w:p w:rsidR="009A11E5" w:rsidRDefault="00405FEF" w:rsidP="00405FEF">
      <w:pPr>
        <w:ind w:firstLine="567"/>
        <w:jc w:val="both"/>
      </w:pPr>
      <w:r>
        <w:t>О</w:t>
      </w:r>
      <w:r w:rsidRPr="00405FEF">
        <w:t>бщ</w:t>
      </w:r>
      <w:r>
        <w:t>им</w:t>
      </w:r>
      <w:r w:rsidRPr="00405FEF">
        <w:t xml:space="preserve"> собрание</w:t>
      </w:r>
      <w:r>
        <w:t>м</w:t>
      </w:r>
      <w:r w:rsidRPr="00405FEF">
        <w:t xml:space="preserve"> участников Общества </w:t>
      </w:r>
      <w:r>
        <w:t>не принимались</w:t>
      </w:r>
      <w:r w:rsidRPr="00405FEF">
        <w:t xml:space="preserve"> решени</w:t>
      </w:r>
      <w:r>
        <w:t>я</w:t>
      </w:r>
      <w:r w:rsidRPr="00405FEF">
        <w:t xml:space="preserve"> о распределении чистой</w:t>
      </w:r>
      <w:r>
        <w:t xml:space="preserve"> прибыли </w:t>
      </w:r>
      <w:r w:rsidR="00952A12">
        <w:t xml:space="preserve">в </w:t>
      </w:r>
      <w:r>
        <w:t>20</w:t>
      </w:r>
      <w:r w:rsidR="002943E5">
        <w:t>2</w:t>
      </w:r>
      <w:r w:rsidR="008E6FD5">
        <w:t>1</w:t>
      </w:r>
      <w:r>
        <w:t xml:space="preserve"> финансов</w:t>
      </w:r>
      <w:r w:rsidR="00952A12">
        <w:t>ом</w:t>
      </w:r>
      <w:r>
        <w:t xml:space="preserve"> год</w:t>
      </w:r>
      <w:r w:rsidR="00952A12">
        <w:t>у</w:t>
      </w:r>
      <w:r>
        <w:t>.</w:t>
      </w:r>
    </w:p>
    <w:p w:rsidR="00AB65EA" w:rsidRPr="00405FEF" w:rsidRDefault="00AB65EA" w:rsidP="00405FEF">
      <w:pPr>
        <w:ind w:firstLine="567"/>
        <w:jc w:val="both"/>
      </w:pPr>
    </w:p>
    <w:p w:rsidR="00D664D5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3" w:name="_Toc67038533"/>
      <w:bookmarkStart w:id="54" w:name="_Toc67038646"/>
      <w:r w:rsidRPr="004270E3">
        <w:rPr>
          <w:color w:val="auto"/>
          <w:sz w:val="24"/>
          <w:szCs w:val="24"/>
        </w:rPr>
        <w:t>О</w:t>
      </w:r>
      <w:r w:rsidR="00E947CF" w:rsidRPr="004270E3">
        <w:rPr>
          <w:color w:val="auto"/>
          <w:sz w:val="24"/>
          <w:szCs w:val="24"/>
        </w:rPr>
        <w:t>писание основных факторов риска, связанных с деятельностью общества</w:t>
      </w:r>
      <w:bookmarkEnd w:id="53"/>
      <w:bookmarkEnd w:id="54"/>
    </w:p>
    <w:p w:rsidR="00A352C6" w:rsidRDefault="00A352C6" w:rsidP="00A352C6">
      <w:pPr>
        <w:rPr>
          <w:lang w:val="x-none" w:eastAsia="x-none"/>
        </w:rPr>
      </w:pPr>
    </w:p>
    <w:p w:rsidR="00803FE9" w:rsidRPr="004136FE" w:rsidRDefault="00803FE9" w:rsidP="004136FE">
      <w:pPr>
        <w:ind w:firstLine="567"/>
        <w:jc w:val="both"/>
      </w:pPr>
      <w:r w:rsidRPr="004136FE">
        <w:t xml:space="preserve">В процессе хозяйственной деятельности Общество подвергается влиянию отраслевых, правовых и прочих внутренних и внешних факторов (существенных условий, событий, обстоятельств, действий). В связи с этим возникают различные риски, способные существенно влиять на финансовое положение и финансовые результаты деятельности Общества. В целях минимизации возможного негативного эффекта Обществом предпринимаются мероприятия, направленные на выявление и оценку рисков, реализуются мероприятия в отношении регулирования рисков. </w:t>
      </w:r>
    </w:p>
    <w:p w:rsidR="00803FE9" w:rsidRDefault="00803FE9" w:rsidP="004136FE">
      <w:pPr>
        <w:ind w:firstLine="567"/>
        <w:jc w:val="both"/>
      </w:pPr>
      <w:r w:rsidRPr="004136FE">
        <w:t xml:space="preserve">Основные риски для деятельности Общества могут быть объединены в следующие укрупнённые группы: </w:t>
      </w:r>
    </w:p>
    <w:p w:rsidR="00317A25" w:rsidRPr="004136FE" w:rsidRDefault="00317A25" w:rsidP="004136FE">
      <w:pPr>
        <w:ind w:firstLine="567"/>
        <w:jc w:val="both"/>
      </w:pPr>
    </w:p>
    <w:p w:rsidR="00317A25" w:rsidRPr="00317A25" w:rsidRDefault="00317A25" w:rsidP="00317A25">
      <w:pPr>
        <w:ind w:firstLine="567"/>
        <w:jc w:val="both"/>
        <w:rPr>
          <w:bCs/>
          <w:i/>
        </w:rPr>
      </w:pPr>
      <w:r w:rsidRPr="00317A25">
        <w:rPr>
          <w:bCs/>
          <w:i/>
        </w:rPr>
        <w:t>Риск COVID-19</w:t>
      </w:r>
    </w:p>
    <w:p w:rsidR="00317A25" w:rsidRDefault="00317A25" w:rsidP="00317A25">
      <w:pPr>
        <w:ind w:firstLine="567"/>
        <w:jc w:val="both"/>
      </w:pPr>
      <w:r w:rsidRPr="00F64634">
        <w:t>Пандемия коронавирусной инфекции (COVID-19) в 202</w:t>
      </w:r>
      <w:r w:rsidR="008E6FD5">
        <w:t>1</w:t>
      </w:r>
      <w:r w:rsidRPr="00F64634">
        <w:t xml:space="preserve"> году</w:t>
      </w:r>
      <w:r>
        <w:t xml:space="preserve"> оказала и продолжает оказывать </w:t>
      </w:r>
      <w:r w:rsidRPr="00F64634">
        <w:t xml:space="preserve">негативное влияние на национальную и на глобальную экономику в результате ограничительных мер, внедренных в ответ на пандемию правительствами многих стран мира, включая Россию. Эти меры нарушили хозяйственную деятельность предприятий как на глобальном, так и на региональном уровне, а также повлияли на производственно-сбытовые цепочки, глобальное производство, потребительские расходы и цены активов. Дальнейшее </w:t>
      </w:r>
      <w:r w:rsidRPr="00F64634">
        <w:lastRenderedPageBreak/>
        <w:t>восстановление национальных экономик частично зависит от мер, предпринимаемых правительствами для ослабления введенных ограничений, но темпы любого восстановления зависят от многих факторов и остаются неясными. Влияние пандемии на мировую экономику в будущем невозможно предсказать в полной мере.</w:t>
      </w:r>
    </w:p>
    <w:p w:rsidR="00317A25" w:rsidRPr="00A352C6" w:rsidRDefault="00317A25" w:rsidP="00317A25">
      <w:pPr>
        <w:ind w:firstLine="567"/>
        <w:jc w:val="both"/>
      </w:pPr>
      <w:r w:rsidRPr="00A352C6">
        <w:t>Факторы, связанные с эпидемиологической ситуацией по режиму повышенной готовности по борьбе с новой короновирусной инфекцией в период после отчетной даты, не оказали существенного влияния на деятельность организации. Общество относится к отрасли, на которую не распространяются меры по ограничению деятельности в период пандемии и в течение сроков повышенной эпидемиологической готовности.</w:t>
      </w:r>
    </w:p>
    <w:p w:rsidR="00317A25" w:rsidRPr="00A352C6" w:rsidRDefault="00317A25" w:rsidP="00317A25">
      <w:pPr>
        <w:ind w:firstLine="567"/>
        <w:jc w:val="both"/>
      </w:pPr>
      <w:r w:rsidRPr="00A352C6">
        <w:t>Общество выполняет все санитарные требования, необходимые в данной эпидемиологической ситуации. Руководство на текущий момент не наблюдает и не ожидает в краткосрочной перспективе существенного негативного влияния на финансовое положение Общества последствий эпидемиологической ситуации.</w:t>
      </w:r>
    </w:p>
    <w:p w:rsidR="00317A25" w:rsidRPr="004270E3" w:rsidRDefault="00317A25" w:rsidP="00317A25">
      <w:pPr>
        <w:ind w:firstLine="567"/>
        <w:jc w:val="both"/>
      </w:pPr>
    </w:p>
    <w:p w:rsidR="006148F9" w:rsidRPr="007352A1" w:rsidRDefault="006148F9" w:rsidP="0083284B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Отраслевые риски</w:t>
      </w:r>
    </w:p>
    <w:p w:rsidR="00741163" w:rsidRDefault="00741163" w:rsidP="0083284B">
      <w:pPr>
        <w:ind w:firstLine="567"/>
        <w:jc w:val="both"/>
        <w:rPr>
          <w:bCs/>
        </w:rPr>
      </w:pPr>
      <w:r>
        <w:rPr>
          <w:bCs/>
        </w:rPr>
        <w:t>Риски, связанные с возможным изменением цены продаж: из-за существенного влияния макроэкономическ</w:t>
      </w:r>
      <w:r w:rsidR="006157DA">
        <w:rPr>
          <w:bCs/>
        </w:rPr>
        <w:t xml:space="preserve">их факторов рынок недвижимости </w:t>
      </w:r>
      <w:r>
        <w:rPr>
          <w:bCs/>
        </w:rPr>
        <w:t xml:space="preserve">может быть довольно нестабильным. </w:t>
      </w:r>
    </w:p>
    <w:p w:rsidR="006148F9" w:rsidRDefault="00741163" w:rsidP="0083284B">
      <w:pPr>
        <w:ind w:firstLine="567"/>
        <w:jc w:val="both"/>
        <w:rPr>
          <w:bCs/>
        </w:rPr>
      </w:pPr>
      <w:r>
        <w:rPr>
          <w:bCs/>
        </w:rPr>
        <w:t>Риски неплатежеспособности покупателей, снижение покупательского спроса.</w:t>
      </w:r>
    </w:p>
    <w:p w:rsidR="00741163" w:rsidRDefault="00741163" w:rsidP="0083284B">
      <w:pPr>
        <w:ind w:firstLine="567"/>
        <w:jc w:val="both"/>
        <w:rPr>
          <w:bCs/>
        </w:rPr>
      </w:pPr>
      <w:r>
        <w:rPr>
          <w:bCs/>
        </w:rPr>
        <w:t>Риски технологические, такие как появление непредвиденных работ, отделочных работ.</w:t>
      </w:r>
    </w:p>
    <w:p w:rsidR="006157DA" w:rsidRDefault="00776926" w:rsidP="006157DA">
      <w:pPr>
        <w:ind w:firstLine="567"/>
        <w:jc w:val="both"/>
        <w:rPr>
          <w:bCs/>
        </w:rPr>
      </w:pPr>
      <w:r>
        <w:rPr>
          <w:bCs/>
        </w:rPr>
        <w:t>Влияние отраслевых рисков оценива</w:t>
      </w:r>
      <w:r w:rsidR="0054242A">
        <w:rPr>
          <w:bCs/>
        </w:rPr>
        <w:t>е</w:t>
      </w:r>
      <w:r>
        <w:rPr>
          <w:bCs/>
        </w:rPr>
        <w:t>тся как существенн</w:t>
      </w:r>
      <w:r w:rsidR="00C27239">
        <w:rPr>
          <w:bCs/>
        </w:rPr>
        <w:t>о</w:t>
      </w:r>
      <w:r>
        <w:rPr>
          <w:bCs/>
        </w:rPr>
        <w:t>е.</w:t>
      </w:r>
      <w:r w:rsidR="006157DA" w:rsidRPr="006157DA">
        <w:rPr>
          <w:bCs/>
        </w:rPr>
        <w:t xml:space="preserve"> </w:t>
      </w:r>
      <w:r w:rsidR="006157DA">
        <w:rPr>
          <w:bCs/>
        </w:rPr>
        <w:t>Указанные</w:t>
      </w:r>
      <w:r w:rsidR="006157DA" w:rsidRPr="004270E3">
        <w:rPr>
          <w:bCs/>
        </w:rPr>
        <w:t xml:space="preserve"> в настоящем разделе риск</w:t>
      </w:r>
      <w:r w:rsidR="006157DA">
        <w:rPr>
          <w:bCs/>
        </w:rPr>
        <w:t>и</w:t>
      </w:r>
      <w:r w:rsidR="006157DA" w:rsidRPr="004270E3">
        <w:rPr>
          <w:bCs/>
        </w:rPr>
        <w:t xml:space="preserve"> ввиду глобальности их масштаба находятся вне контроля общества. </w:t>
      </w:r>
    </w:p>
    <w:p w:rsidR="00776926" w:rsidRDefault="00776926" w:rsidP="0083284B">
      <w:pPr>
        <w:ind w:firstLine="567"/>
        <w:jc w:val="both"/>
        <w:rPr>
          <w:bCs/>
        </w:rPr>
      </w:pPr>
    </w:p>
    <w:p w:rsidR="0083284B" w:rsidRPr="007352A1" w:rsidRDefault="0083284B" w:rsidP="0083284B">
      <w:pPr>
        <w:ind w:firstLine="567"/>
        <w:jc w:val="both"/>
        <w:rPr>
          <w:bCs/>
          <w:i/>
        </w:rPr>
      </w:pPr>
      <w:proofErr w:type="spellStart"/>
      <w:r w:rsidRPr="007352A1">
        <w:rPr>
          <w:bCs/>
          <w:i/>
        </w:rPr>
        <w:t>Страновые</w:t>
      </w:r>
      <w:proofErr w:type="spellEnd"/>
      <w:r w:rsidRPr="007352A1">
        <w:rPr>
          <w:bCs/>
          <w:i/>
        </w:rPr>
        <w:t xml:space="preserve"> и региональные риски</w:t>
      </w:r>
    </w:p>
    <w:p w:rsidR="00776926" w:rsidRDefault="00431401" w:rsidP="0083284B">
      <w:pPr>
        <w:ind w:firstLine="567"/>
        <w:jc w:val="both"/>
        <w:rPr>
          <w:bCs/>
        </w:rPr>
      </w:pPr>
      <w:proofErr w:type="spellStart"/>
      <w:r>
        <w:rPr>
          <w:bCs/>
        </w:rPr>
        <w:t>Страновые</w:t>
      </w:r>
      <w:proofErr w:type="spellEnd"/>
      <w:r>
        <w:rPr>
          <w:bCs/>
        </w:rPr>
        <w:t xml:space="preserve"> риски предприятия определяются присущими России текущими социальными, политическими и экономическими рисками, изменениями в законодательной системе и международным финансовым рейтингом России, что находится вне контроля Общества. Определенные события в социально-политической и экономической жизни России, проводимые реформы могут повлиять на деятельность общества.</w:t>
      </w:r>
    </w:p>
    <w:p w:rsidR="00431401" w:rsidRDefault="00431401" w:rsidP="0083284B">
      <w:pPr>
        <w:ind w:firstLine="567"/>
        <w:jc w:val="both"/>
        <w:rPr>
          <w:bCs/>
        </w:rPr>
      </w:pPr>
      <w:r>
        <w:rPr>
          <w:bCs/>
        </w:rPr>
        <w:t xml:space="preserve">Рост безработицы, сложная политическая ситуация, дефицит федерального бюджета и уменьшение резервного фонда, сохранение риска падения курса российского рубля и фондового рынка позволяют считать текущий уровень </w:t>
      </w:r>
      <w:proofErr w:type="spellStart"/>
      <w:r>
        <w:rPr>
          <w:bCs/>
        </w:rPr>
        <w:t>странового</w:t>
      </w:r>
      <w:proofErr w:type="spellEnd"/>
      <w:r>
        <w:rPr>
          <w:bCs/>
        </w:rPr>
        <w:t xml:space="preserve"> риска достаточно высоким.</w:t>
      </w:r>
    </w:p>
    <w:p w:rsidR="00CA328D" w:rsidRDefault="0083284B" w:rsidP="00CA328D">
      <w:pPr>
        <w:ind w:firstLine="567"/>
        <w:jc w:val="both"/>
        <w:rPr>
          <w:bCs/>
        </w:rPr>
      </w:pPr>
      <w:r w:rsidRPr="004270E3">
        <w:rPr>
          <w:bCs/>
        </w:rPr>
        <w:t xml:space="preserve">Общество </w:t>
      </w:r>
      <w:r w:rsidR="00B50CA4">
        <w:rPr>
          <w:bCs/>
        </w:rPr>
        <w:t>территориально находится в</w:t>
      </w:r>
      <w:r w:rsidRPr="004270E3">
        <w:rPr>
          <w:bCs/>
        </w:rPr>
        <w:t xml:space="preserve"> Свердловской области</w:t>
      </w:r>
      <w:r w:rsidR="00B50CA4">
        <w:rPr>
          <w:bCs/>
        </w:rPr>
        <w:t xml:space="preserve">. Этот регион относится к промышленно развитым регионам, имеет высокий потенциал для дальнейшего экономического роста, развитую транспортную и энергетическую инфраструктуру. Свердловская область </w:t>
      </w:r>
      <w:r w:rsidR="0058291C" w:rsidRPr="004270E3">
        <w:rPr>
          <w:bCs/>
        </w:rPr>
        <w:t>располагает значительными запасами полезных ископаемых</w:t>
      </w:r>
      <w:r w:rsidR="0058291C">
        <w:rPr>
          <w:bCs/>
        </w:rPr>
        <w:t xml:space="preserve">, </w:t>
      </w:r>
      <w:r w:rsidR="00B50CA4">
        <w:rPr>
          <w:bCs/>
        </w:rPr>
        <w:t>насыщена промышленными предприятиями различных отраслей и стабильно развивается.</w:t>
      </w:r>
    </w:p>
    <w:p w:rsidR="0083284B" w:rsidRDefault="0083284B" w:rsidP="0083284B">
      <w:pPr>
        <w:ind w:firstLine="567"/>
        <w:jc w:val="both"/>
        <w:rPr>
          <w:bCs/>
        </w:rPr>
      </w:pPr>
      <w:r w:rsidRPr="004270E3">
        <w:rPr>
          <w:bCs/>
        </w:rPr>
        <w:t xml:space="preserve">Риски, связанные с возможными военными конфликтами, введением чрезвычайного положения и забастовками в РФ и Уральском регионе оцениваются как </w:t>
      </w:r>
      <w:r w:rsidR="00CA328D">
        <w:rPr>
          <w:bCs/>
        </w:rPr>
        <w:t>умеренные</w:t>
      </w:r>
      <w:r w:rsidRPr="004270E3">
        <w:rPr>
          <w:bCs/>
        </w:rPr>
        <w:t>.</w:t>
      </w:r>
    </w:p>
    <w:p w:rsidR="0083284B" w:rsidRDefault="0083284B" w:rsidP="0083284B">
      <w:pPr>
        <w:ind w:firstLine="567"/>
        <w:jc w:val="both"/>
        <w:rPr>
          <w:bCs/>
        </w:rPr>
      </w:pPr>
      <w:r w:rsidRPr="004270E3">
        <w:rPr>
          <w:bCs/>
        </w:rPr>
        <w:t>Риски, связанные с географическими особенностями РФ и Уральского региона, в том числе повышенная опасность стихийных бедствий, возможное прекращение транспортного сообщения в связи с удаленностью и/или труднодоступностью оцениваются как минимальные.</w:t>
      </w:r>
    </w:p>
    <w:p w:rsidR="0083284B" w:rsidRPr="004270E3" w:rsidRDefault="0083284B" w:rsidP="0083284B">
      <w:pPr>
        <w:ind w:firstLine="567"/>
        <w:jc w:val="both"/>
        <w:rPr>
          <w:bCs/>
        </w:rPr>
      </w:pPr>
      <w:r w:rsidRPr="004270E3">
        <w:rPr>
          <w:bCs/>
        </w:rPr>
        <w:t>Существуют также риски общего характера, связанные с процессом политических, экономических и социальных преобразований, проводимых в настоящее время в РФ.</w:t>
      </w:r>
    </w:p>
    <w:p w:rsidR="00CA328D" w:rsidRDefault="00CA328D" w:rsidP="0083284B">
      <w:pPr>
        <w:ind w:firstLine="567"/>
        <w:jc w:val="both"/>
        <w:rPr>
          <w:bCs/>
        </w:rPr>
      </w:pPr>
    </w:p>
    <w:p w:rsidR="0083284B" w:rsidRPr="007352A1" w:rsidRDefault="0083284B" w:rsidP="0083284B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Политические и социальные риски</w:t>
      </w:r>
    </w:p>
    <w:p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В настоящие время политическая ситуация в РФ характеризуется как стабильная. Проводится ряд реформ для создания свободного рынка товаров и капитала, оптимальных условий предпринимательской деятельности и формирования основ свободной конкуренции. Экономическая коррекция сказывается на общих социальных показателях, однако данные изменения не способны оказать значительное негативное влияние на деятельность общества. </w:t>
      </w:r>
    </w:p>
    <w:p w:rsidR="00170252" w:rsidRPr="004270E3" w:rsidRDefault="00170252" w:rsidP="00FA7428">
      <w:pPr>
        <w:ind w:firstLine="567"/>
        <w:jc w:val="both"/>
        <w:rPr>
          <w:bCs/>
        </w:rPr>
      </w:pPr>
    </w:p>
    <w:p w:rsidR="00CA328D" w:rsidRPr="007352A1" w:rsidRDefault="00CA328D" w:rsidP="00FA7428">
      <w:pPr>
        <w:ind w:firstLine="567"/>
        <w:jc w:val="both"/>
        <w:rPr>
          <w:bCs/>
          <w:i/>
        </w:rPr>
      </w:pPr>
      <w:r w:rsidRPr="007352A1">
        <w:rPr>
          <w:bCs/>
          <w:i/>
        </w:rPr>
        <w:t>Финансовые риски</w:t>
      </w:r>
    </w:p>
    <w:p w:rsidR="0068289B" w:rsidRDefault="0068289B" w:rsidP="00FA7428">
      <w:pPr>
        <w:ind w:firstLine="567"/>
        <w:jc w:val="both"/>
        <w:rPr>
          <w:bCs/>
        </w:rPr>
      </w:pPr>
      <w:r>
        <w:rPr>
          <w:bCs/>
        </w:rPr>
        <w:t>Финансовый риск определяет финансовую стабильность предприятия и отражает возможность покрытия своих текущих расходов за счет текущих доходов. Включает в себя:</w:t>
      </w:r>
    </w:p>
    <w:p w:rsidR="0068289B" w:rsidRDefault="0068289B" w:rsidP="00FA7428">
      <w:pPr>
        <w:ind w:firstLine="567"/>
        <w:jc w:val="both"/>
        <w:rPr>
          <w:bCs/>
        </w:rPr>
      </w:pPr>
      <w:r>
        <w:rPr>
          <w:bCs/>
        </w:rPr>
        <w:lastRenderedPageBreak/>
        <w:t>Инфляционный риск в современных условиях ведения хозяйственной деятельности на рынке носит постоянный характер, и сопровождает практически все финансовые операции общества.</w:t>
      </w:r>
    </w:p>
    <w:p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Риск изменения процентной ставки </w:t>
      </w:r>
    </w:p>
    <w:p w:rsidR="0052000C" w:rsidRPr="007352A1" w:rsidRDefault="0052000C" w:rsidP="00FA7428">
      <w:pPr>
        <w:ind w:firstLine="567"/>
        <w:jc w:val="both"/>
        <w:rPr>
          <w:bCs/>
        </w:rPr>
      </w:pPr>
      <w:r w:rsidRPr="007352A1">
        <w:rPr>
          <w:bCs/>
        </w:rPr>
        <w:t xml:space="preserve">Активы и обязательства Общества в основном имеют фиксированные ставки процента. Таким образом, руководство считает, что Общество не подвержено риску изменения процентной ставки в отношении его активов и обязательств. </w:t>
      </w:r>
    </w:p>
    <w:p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Валютный риск </w:t>
      </w:r>
    </w:p>
    <w:p w:rsidR="0052000C" w:rsidRPr="007352A1" w:rsidRDefault="0052000C" w:rsidP="00FA7428">
      <w:pPr>
        <w:ind w:firstLine="567"/>
        <w:jc w:val="both"/>
        <w:rPr>
          <w:bCs/>
        </w:rPr>
      </w:pPr>
      <w:r w:rsidRPr="007352A1">
        <w:rPr>
          <w:bCs/>
        </w:rPr>
        <w:t xml:space="preserve">Общество оказывает услуги, продает продукцию, приобретает товар и привлекает существенные заемные средства преимущественно в российских рублях. Таким образом, руководство считает, что Общество не подвержено существенному влиянию валютного риска. </w:t>
      </w:r>
    </w:p>
    <w:p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Кредитный риск </w:t>
      </w:r>
    </w:p>
    <w:p w:rsidR="0052000C" w:rsidRPr="007352A1" w:rsidRDefault="0052000C" w:rsidP="00FA7428">
      <w:pPr>
        <w:ind w:firstLine="567"/>
        <w:jc w:val="both"/>
        <w:rPr>
          <w:bCs/>
        </w:rPr>
      </w:pPr>
      <w:r w:rsidRPr="007352A1">
        <w:rPr>
          <w:bCs/>
        </w:rPr>
        <w:t>Общество оценивает кредитный риск по предоставленным им заемным средствам, как низкий, так как займы были предоставлены пре</w:t>
      </w:r>
      <w:r w:rsidR="008F2576">
        <w:rPr>
          <w:bCs/>
        </w:rPr>
        <w:t>имущественно связанным сторонам</w:t>
      </w:r>
      <w:r w:rsidRPr="007352A1">
        <w:rPr>
          <w:bCs/>
        </w:rPr>
        <w:t xml:space="preserve">. </w:t>
      </w:r>
    </w:p>
    <w:p w:rsidR="0052000C" w:rsidRPr="007352A1" w:rsidRDefault="0052000C" w:rsidP="00FA7428">
      <w:pPr>
        <w:pStyle w:val="af4"/>
        <w:spacing w:before="0" w:beforeAutospacing="0" w:after="0" w:afterAutospacing="0"/>
        <w:ind w:firstLine="567"/>
        <w:jc w:val="both"/>
        <w:rPr>
          <w:bCs/>
          <w:lang w:eastAsia="en-US"/>
        </w:rPr>
      </w:pPr>
      <w:r w:rsidRPr="007352A1">
        <w:rPr>
          <w:bCs/>
          <w:lang w:eastAsia="en-US"/>
        </w:rPr>
        <w:t xml:space="preserve">Риск ликвидности </w:t>
      </w:r>
    </w:p>
    <w:p w:rsidR="0052000C" w:rsidRPr="007352A1" w:rsidRDefault="0052000C" w:rsidP="00FA7428">
      <w:pPr>
        <w:ind w:firstLine="567"/>
        <w:jc w:val="both"/>
        <w:rPr>
          <w:bCs/>
        </w:rPr>
      </w:pPr>
      <w:r w:rsidRPr="007352A1">
        <w:rPr>
          <w:bCs/>
        </w:rPr>
        <w:t>Риск ликвидности связан с возможностями Общества своевременно и в полном объеме погасить имеющиеся на отчетную дату финансовые обязательства: кредиторскую задолженность поставщикам и подрядчикам, задолженность заимодавцам по полученным кредитам и займам (в том числе в форме облигаций). Общество осуществляет управление риском ликвидности посредством выбора оптимального соотношения собственного и заемного капитала в соответствии с планами руководства. Такой подход позволяет Обществу поддерживать необходимый уровень ликвидности и ресурсов финансирования таким образом, чтобы минимизировать расходы по заемным средствам, а также оптимизировать структуру задолженности и сроки ее погашения.</w:t>
      </w:r>
    </w:p>
    <w:p w:rsidR="0083284B" w:rsidRPr="004270E3" w:rsidRDefault="0083284B" w:rsidP="00FA7428">
      <w:pPr>
        <w:ind w:firstLine="567"/>
        <w:jc w:val="both"/>
        <w:rPr>
          <w:bCs/>
        </w:rPr>
      </w:pPr>
    </w:p>
    <w:p w:rsidR="0083284B" w:rsidRPr="007352A1" w:rsidRDefault="007352A1" w:rsidP="00FA7428">
      <w:pPr>
        <w:ind w:firstLine="567"/>
        <w:jc w:val="both"/>
        <w:rPr>
          <w:bCs/>
          <w:i/>
        </w:rPr>
      </w:pPr>
      <w:r>
        <w:rPr>
          <w:bCs/>
          <w:i/>
        </w:rPr>
        <w:t>Правовые риски</w:t>
      </w:r>
    </w:p>
    <w:p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Правовые риски, связанные с деятельностью общества, как для внешнего, так и для внутреннего рынков, связанные с </w:t>
      </w:r>
    </w:p>
    <w:p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>- изменением валютного регулирования;</w:t>
      </w:r>
    </w:p>
    <w:p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>- изменением налогового законодательства;</w:t>
      </w:r>
    </w:p>
    <w:p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- изменением судебной практики по вопросам, </w:t>
      </w:r>
      <w:r w:rsidR="00730469">
        <w:rPr>
          <w:bCs/>
        </w:rPr>
        <w:t>относящимся к</w:t>
      </w:r>
      <w:r w:rsidRPr="004270E3">
        <w:rPr>
          <w:bCs/>
        </w:rPr>
        <w:t xml:space="preserve"> деятельност</w:t>
      </w:r>
      <w:r w:rsidR="00730469">
        <w:rPr>
          <w:bCs/>
        </w:rPr>
        <w:t>и</w:t>
      </w:r>
      <w:r w:rsidRPr="004270E3">
        <w:rPr>
          <w:bCs/>
        </w:rPr>
        <w:t xml:space="preserve"> общества</w:t>
      </w:r>
      <w:r w:rsidR="00170252">
        <w:rPr>
          <w:bCs/>
        </w:rPr>
        <w:t>,</w:t>
      </w:r>
      <w:r w:rsidRPr="004270E3">
        <w:rPr>
          <w:bCs/>
        </w:rPr>
        <w:t xml:space="preserve"> которые могут негативно сказаться на результатах деятельности, за отчетный </w:t>
      </w:r>
      <w:r w:rsidR="00730469">
        <w:rPr>
          <w:bCs/>
        </w:rPr>
        <w:t>год</w:t>
      </w:r>
      <w:r w:rsidRPr="004270E3">
        <w:rPr>
          <w:bCs/>
        </w:rPr>
        <w:t xml:space="preserve"> не увеличились в связи с отсутствием для общества измен</w:t>
      </w:r>
      <w:r w:rsidR="00730469">
        <w:rPr>
          <w:bCs/>
        </w:rPr>
        <w:t>ений по вышеуказанным критериям и рассматриваются как минимальные.</w:t>
      </w:r>
    </w:p>
    <w:p w:rsidR="007F0D18" w:rsidRPr="007352A1" w:rsidRDefault="007F0D18" w:rsidP="00FA7428">
      <w:pPr>
        <w:ind w:firstLine="567"/>
        <w:jc w:val="both"/>
        <w:rPr>
          <w:bCs/>
        </w:rPr>
      </w:pPr>
      <w:r w:rsidRPr="007352A1">
        <w:rPr>
          <w:bCs/>
        </w:rPr>
        <w:t>Общество внимательно следит за текущими изменениями законодательства.</w:t>
      </w:r>
    </w:p>
    <w:p w:rsidR="0083284B" w:rsidRPr="004270E3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>Правовые риски, связанные с участием общества в судебных процессах: общество не участвовало в судебных процессах, которые могли существенно отразиться на его финансово-хозяйственной деятельности.</w:t>
      </w:r>
    </w:p>
    <w:p w:rsidR="0083284B" w:rsidRDefault="0083284B" w:rsidP="00FA7428">
      <w:pPr>
        <w:ind w:firstLine="567"/>
        <w:jc w:val="both"/>
        <w:rPr>
          <w:bCs/>
        </w:rPr>
      </w:pPr>
      <w:r w:rsidRPr="004270E3">
        <w:rPr>
          <w:bCs/>
        </w:rPr>
        <w:t xml:space="preserve">Большинство из указанных в настоящем разделе рисков экономического и политического характера ввиду глобальности их масштаба находятся вне контроля общества. </w:t>
      </w:r>
    </w:p>
    <w:p w:rsidR="007F0D18" w:rsidRDefault="007F0D18" w:rsidP="0083284B">
      <w:pPr>
        <w:ind w:firstLine="567"/>
        <w:jc w:val="both"/>
        <w:rPr>
          <w:bCs/>
        </w:rPr>
      </w:pPr>
    </w:p>
    <w:p w:rsidR="00F23DBB" w:rsidRPr="007352A1" w:rsidRDefault="00F23DBB" w:rsidP="007352A1">
      <w:pPr>
        <w:ind w:firstLine="567"/>
        <w:jc w:val="both"/>
        <w:rPr>
          <w:bCs/>
          <w:i/>
        </w:rPr>
      </w:pPr>
      <w:proofErr w:type="spellStart"/>
      <w:r w:rsidRPr="007352A1">
        <w:rPr>
          <w:bCs/>
          <w:i/>
        </w:rPr>
        <w:t>Репутационные</w:t>
      </w:r>
      <w:proofErr w:type="spellEnd"/>
      <w:r w:rsidRPr="007352A1">
        <w:rPr>
          <w:bCs/>
          <w:i/>
        </w:rPr>
        <w:t xml:space="preserve"> риски</w:t>
      </w:r>
    </w:p>
    <w:p w:rsidR="00F23DBB" w:rsidRDefault="00F23DBB" w:rsidP="007352A1">
      <w:pPr>
        <w:ind w:firstLine="567"/>
        <w:jc w:val="both"/>
        <w:rPr>
          <w:bCs/>
        </w:rPr>
      </w:pPr>
      <w:r w:rsidRPr="007352A1">
        <w:rPr>
          <w:bCs/>
        </w:rPr>
        <w:t xml:space="preserve">Руководство Общества считает, что в настоящее время отсутствуют факты, которые могли бы оказать существенное негативное воздействие на уменьшение числа клиентов в сфере недвижимости. Соответственно, </w:t>
      </w:r>
      <w:proofErr w:type="spellStart"/>
      <w:r w:rsidRPr="007352A1">
        <w:rPr>
          <w:bCs/>
        </w:rPr>
        <w:t>репутационные</w:t>
      </w:r>
      <w:proofErr w:type="spellEnd"/>
      <w:r w:rsidRPr="007352A1">
        <w:rPr>
          <w:bCs/>
        </w:rPr>
        <w:t xml:space="preserve"> риски оцениваются Обществом как несущественные.</w:t>
      </w:r>
    </w:p>
    <w:p w:rsidR="00BF7F47" w:rsidRPr="007352A1" w:rsidRDefault="00BF7F47" w:rsidP="007352A1">
      <w:pPr>
        <w:ind w:firstLine="567"/>
        <w:jc w:val="both"/>
        <w:rPr>
          <w:bCs/>
        </w:rPr>
      </w:pPr>
    </w:p>
    <w:p w:rsidR="00E947CF" w:rsidRPr="004555DC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5" w:name="_Toc67038534"/>
      <w:bookmarkStart w:id="56" w:name="_Toc67038647"/>
      <w:r w:rsidRPr="004270E3">
        <w:rPr>
          <w:color w:val="auto"/>
          <w:sz w:val="24"/>
          <w:szCs w:val="24"/>
        </w:rPr>
        <w:t>П</w:t>
      </w:r>
      <w:r w:rsidR="00E947CF" w:rsidRPr="004270E3">
        <w:rPr>
          <w:color w:val="auto"/>
          <w:sz w:val="24"/>
          <w:szCs w:val="24"/>
        </w:rPr>
        <w:t xml:space="preserve">еречень совершенных обществом в отчетном году сделок, признаваемых в соответствии с </w:t>
      </w:r>
      <w:r w:rsidR="009903EE">
        <w:rPr>
          <w:color w:val="auto"/>
          <w:sz w:val="24"/>
          <w:szCs w:val="24"/>
        </w:rPr>
        <w:t>ФЗ</w:t>
      </w:r>
      <w:r w:rsidR="00E947CF" w:rsidRPr="004270E3">
        <w:rPr>
          <w:color w:val="auto"/>
          <w:sz w:val="24"/>
          <w:szCs w:val="24"/>
        </w:rPr>
        <w:t xml:space="preserve"> </w:t>
      </w:r>
      <w:r w:rsidR="00E947CF" w:rsidRPr="004555DC">
        <w:rPr>
          <w:color w:val="auto"/>
          <w:sz w:val="24"/>
          <w:szCs w:val="24"/>
        </w:rPr>
        <w:t>"Об обществах</w:t>
      </w:r>
      <w:r w:rsidR="004555DC">
        <w:rPr>
          <w:color w:val="auto"/>
          <w:sz w:val="24"/>
          <w:szCs w:val="24"/>
        </w:rPr>
        <w:t xml:space="preserve"> с ограниченной ответственностью</w:t>
      </w:r>
      <w:r w:rsidR="00E947CF" w:rsidRPr="004555DC">
        <w:rPr>
          <w:color w:val="auto"/>
          <w:sz w:val="24"/>
          <w:szCs w:val="24"/>
        </w:rPr>
        <w:t>"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 и органа управления общества, пр</w:t>
      </w:r>
      <w:r w:rsidR="00AF452F" w:rsidRPr="004555DC">
        <w:rPr>
          <w:color w:val="auto"/>
          <w:sz w:val="24"/>
          <w:szCs w:val="24"/>
        </w:rPr>
        <w:t>инявшего решение о ее одобрении</w:t>
      </w:r>
      <w:bookmarkEnd w:id="55"/>
      <w:bookmarkEnd w:id="56"/>
    </w:p>
    <w:p w:rsidR="00AF452F" w:rsidRPr="004555DC" w:rsidRDefault="00AF452F" w:rsidP="00884AB8"/>
    <w:p w:rsidR="00AF452F" w:rsidRPr="004555DC" w:rsidRDefault="00AF452F" w:rsidP="00884AB8">
      <w:pPr>
        <w:ind w:firstLine="567"/>
        <w:jc w:val="both"/>
      </w:pPr>
      <w:r w:rsidRPr="004555DC">
        <w:lastRenderedPageBreak/>
        <w:t>Количество совершенных обществом в отчетном году сделок, признаваемых в соответствии с Федеральным законом "</w:t>
      </w:r>
      <w:r w:rsidR="004555DC" w:rsidRPr="004555DC">
        <w:t>Об обществах</w:t>
      </w:r>
      <w:r w:rsidR="004555DC">
        <w:t xml:space="preserve"> с ограниченной ответственностью</w:t>
      </w:r>
      <w:r w:rsidRPr="004555DC">
        <w:t xml:space="preserve">" крупными сделками: </w:t>
      </w:r>
      <w:r w:rsidR="004270E3" w:rsidRPr="004555DC">
        <w:t>0</w:t>
      </w:r>
      <w:r w:rsidRPr="004555DC">
        <w:t>.</w:t>
      </w:r>
    </w:p>
    <w:p w:rsidR="00AF452F" w:rsidRDefault="00AF452F" w:rsidP="00884AB8">
      <w:pPr>
        <w:ind w:firstLine="567"/>
        <w:jc w:val="both"/>
      </w:pPr>
      <w:r w:rsidRPr="004555DC">
        <w:t>Количество иных сделок, на совершение которых в соответствии с уставом общества распространяется порядок одобрения крупных сделок: 0.</w:t>
      </w:r>
    </w:p>
    <w:p w:rsidR="009903EE" w:rsidRDefault="009903EE" w:rsidP="00884AB8">
      <w:pPr>
        <w:ind w:firstLine="567"/>
        <w:jc w:val="both"/>
      </w:pPr>
    </w:p>
    <w:p w:rsidR="00E947CF" w:rsidRPr="004555DC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7" w:name="_Toc67038535"/>
      <w:bookmarkStart w:id="58" w:name="_Toc67038648"/>
      <w:r w:rsidRPr="004555DC">
        <w:rPr>
          <w:color w:val="auto"/>
          <w:sz w:val="24"/>
          <w:szCs w:val="24"/>
        </w:rPr>
        <w:t>П</w:t>
      </w:r>
      <w:r w:rsidR="00E947CF" w:rsidRPr="004555DC">
        <w:rPr>
          <w:color w:val="auto"/>
          <w:sz w:val="24"/>
          <w:szCs w:val="24"/>
        </w:rPr>
        <w:t xml:space="preserve">еречень совершенных обществом в отчетном году сделок, признаваемых в соответствии с </w:t>
      </w:r>
      <w:r w:rsidR="009903EE">
        <w:rPr>
          <w:color w:val="auto"/>
          <w:sz w:val="24"/>
          <w:szCs w:val="24"/>
        </w:rPr>
        <w:t>ФЗ</w:t>
      </w:r>
      <w:r w:rsidR="00E947CF" w:rsidRPr="004555DC">
        <w:rPr>
          <w:color w:val="auto"/>
          <w:sz w:val="24"/>
          <w:szCs w:val="24"/>
        </w:rPr>
        <w:t xml:space="preserve"> "</w:t>
      </w:r>
      <w:r w:rsidR="004555DC" w:rsidRPr="004555DC">
        <w:rPr>
          <w:color w:val="auto"/>
          <w:sz w:val="24"/>
          <w:szCs w:val="24"/>
        </w:rPr>
        <w:t>Об обществах</w:t>
      </w:r>
      <w:r w:rsidR="004555DC">
        <w:rPr>
          <w:color w:val="auto"/>
          <w:sz w:val="24"/>
          <w:szCs w:val="24"/>
        </w:rPr>
        <w:t xml:space="preserve"> с ограниченной ответственностью</w:t>
      </w:r>
      <w:r w:rsidR="00E947CF" w:rsidRPr="004555DC">
        <w:rPr>
          <w:color w:val="auto"/>
          <w:sz w:val="24"/>
          <w:szCs w:val="24"/>
        </w:rPr>
        <w:t>" сделками, в совершении которых имелась заинтересованность, с указанием по каждой сделке заинтересованного лица (лиц), существенных условий и органа управления общества, пр</w:t>
      </w:r>
      <w:r w:rsidR="002E1229" w:rsidRPr="004555DC">
        <w:rPr>
          <w:color w:val="auto"/>
          <w:sz w:val="24"/>
          <w:szCs w:val="24"/>
        </w:rPr>
        <w:t>инявшего решение о ее одобрении</w:t>
      </w:r>
      <w:bookmarkEnd w:id="57"/>
      <w:bookmarkEnd w:id="58"/>
    </w:p>
    <w:p w:rsidR="002E1229" w:rsidRPr="004555DC" w:rsidRDefault="002E1229" w:rsidP="00884AB8">
      <w:pPr>
        <w:jc w:val="both"/>
      </w:pPr>
    </w:p>
    <w:p w:rsidR="002E1229" w:rsidRPr="004270E3" w:rsidRDefault="002E1229" w:rsidP="00884AB8">
      <w:pPr>
        <w:ind w:firstLine="567"/>
        <w:jc w:val="both"/>
      </w:pPr>
      <w:r w:rsidRPr="004555DC">
        <w:t>Количество совершенных обществом в отчетном году сделок, признаваемых в соответствии с Федеральным законом "</w:t>
      </w:r>
      <w:r w:rsidR="004555DC" w:rsidRPr="004555DC">
        <w:t>Об обществах</w:t>
      </w:r>
      <w:r w:rsidR="004555DC">
        <w:t xml:space="preserve"> с ограниченной ответственностью</w:t>
      </w:r>
      <w:r w:rsidRPr="004555DC">
        <w:t xml:space="preserve">" сделками, в совершении которых имелась заинтересованность: </w:t>
      </w:r>
      <w:r w:rsidR="004270E3" w:rsidRPr="004555DC">
        <w:t>0</w:t>
      </w:r>
      <w:r w:rsidRPr="004555DC">
        <w:t>.</w:t>
      </w:r>
    </w:p>
    <w:p w:rsidR="004A33A4" w:rsidRPr="004270E3" w:rsidRDefault="004A33A4" w:rsidP="00884AB8"/>
    <w:p w:rsidR="002E1229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59" w:name="_Toc67038536"/>
      <w:bookmarkStart w:id="60" w:name="_Toc67038649"/>
      <w:r w:rsidRPr="004270E3">
        <w:rPr>
          <w:color w:val="auto"/>
          <w:sz w:val="24"/>
          <w:szCs w:val="24"/>
        </w:rPr>
        <w:t>С</w:t>
      </w:r>
      <w:r w:rsidR="00E947CF" w:rsidRPr="004270E3">
        <w:rPr>
          <w:color w:val="auto"/>
          <w:sz w:val="24"/>
          <w:szCs w:val="24"/>
        </w:rPr>
        <w:t>остав совета директоров общества, включая информацию об изменениях в составе совета директоров общества, имевших место в отчетном году, и сведения о членах совета директоров общества</w:t>
      </w:r>
      <w:bookmarkEnd w:id="59"/>
      <w:bookmarkEnd w:id="60"/>
    </w:p>
    <w:p w:rsidR="0080666A" w:rsidRDefault="0080666A" w:rsidP="0080666A"/>
    <w:p w:rsidR="004555DC" w:rsidRDefault="004555DC" w:rsidP="004555DC">
      <w:pPr>
        <w:ind w:firstLine="567"/>
        <w:jc w:val="both"/>
      </w:pPr>
      <w:r w:rsidRPr="004270E3">
        <w:t>Совет</w:t>
      </w:r>
      <w:r>
        <w:t xml:space="preserve"> директоров </w:t>
      </w:r>
      <w:r w:rsidR="004A33A4">
        <w:t xml:space="preserve">учредительными документами </w:t>
      </w:r>
      <w:r>
        <w:t>ООО «НПФ» не предусмотрен.</w:t>
      </w:r>
    </w:p>
    <w:p w:rsidR="004A33A4" w:rsidRDefault="004A33A4" w:rsidP="00884AB8">
      <w:pPr>
        <w:jc w:val="both"/>
      </w:pPr>
    </w:p>
    <w:p w:rsidR="0074542A" w:rsidRPr="004270E3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61" w:name="_Toc67038537"/>
      <w:bookmarkStart w:id="62" w:name="_Toc67038650"/>
      <w:r w:rsidRPr="004270E3">
        <w:rPr>
          <w:color w:val="auto"/>
          <w:sz w:val="24"/>
          <w:szCs w:val="24"/>
        </w:rPr>
        <w:t>С</w:t>
      </w:r>
      <w:r w:rsidR="00E947CF" w:rsidRPr="004270E3">
        <w:rPr>
          <w:color w:val="auto"/>
          <w:sz w:val="24"/>
          <w:szCs w:val="24"/>
        </w:rPr>
        <w:t xml:space="preserve">ведения о лице, занимающем должность (осуществляющем функции) единоличного исполнительного органа (управляющем, управляющей организации) общества и членах коллегиального исполнительного органа </w:t>
      </w:r>
      <w:r w:rsidR="007644BC">
        <w:rPr>
          <w:color w:val="auto"/>
          <w:sz w:val="24"/>
          <w:szCs w:val="24"/>
        </w:rPr>
        <w:t>общества</w:t>
      </w:r>
      <w:bookmarkEnd w:id="61"/>
      <w:bookmarkEnd w:id="62"/>
    </w:p>
    <w:p w:rsidR="0074542A" w:rsidRDefault="0074542A" w:rsidP="00884AB8">
      <w:pPr>
        <w:pStyle w:val="2"/>
        <w:spacing w:before="0"/>
        <w:ind w:firstLine="567"/>
        <w:jc w:val="both"/>
        <w:rPr>
          <w:color w:val="auto"/>
          <w:sz w:val="24"/>
          <w:szCs w:val="24"/>
        </w:rPr>
      </w:pPr>
    </w:p>
    <w:p w:rsidR="0074542A" w:rsidRPr="00304F00" w:rsidRDefault="0074542A" w:rsidP="00884AB8">
      <w:pPr>
        <w:pStyle w:val="2"/>
        <w:spacing w:before="0"/>
        <w:ind w:firstLine="567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bookmarkStart w:id="63" w:name="_Toc67038538"/>
      <w:bookmarkStart w:id="64" w:name="_Toc67038651"/>
      <w:r w:rsidRPr="004270E3">
        <w:rPr>
          <w:rFonts w:ascii="Times New Roman" w:hAnsi="Times New Roman"/>
          <w:b w:val="0"/>
          <w:color w:val="auto"/>
          <w:sz w:val="24"/>
          <w:szCs w:val="24"/>
        </w:rPr>
        <w:t>Фамилия, имя, отчество</w:t>
      </w:r>
      <w:r w:rsidRPr="00304F00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: </w:t>
      </w:r>
      <w:r w:rsidR="00C4176A">
        <w:rPr>
          <w:rFonts w:ascii="Times New Roman" w:hAnsi="Times New Roman"/>
          <w:b w:val="0"/>
          <w:bCs/>
          <w:color w:val="auto"/>
          <w:sz w:val="24"/>
          <w:szCs w:val="24"/>
        </w:rPr>
        <w:t>Васькин Андрей</w:t>
      </w:r>
      <w:r w:rsidR="00E9298D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Николаевич</w:t>
      </w:r>
      <w:r w:rsidRPr="00304F00">
        <w:rPr>
          <w:rFonts w:ascii="Times New Roman" w:hAnsi="Times New Roman"/>
          <w:b w:val="0"/>
          <w:bCs/>
          <w:color w:val="auto"/>
          <w:sz w:val="24"/>
          <w:szCs w:val="24"/>
        </w:rPr>
        <w:t>;</w:t>
      </w:r>
      <w:bookmarkEnd w:id="63"/>
      <w:bookmarkEnd w:id="64"/>
    </w:p>
    <w:p w:rsidR="0074542A" w:rsidRPr="00401A11" w:rsidRDefault="0074542A" w:rsidP="00884AB8">
      <w:pPr>
        <w:ind w:firstLine="567"/>
        <w:jc w:val="both"/>
      </w:pPr>
      <w:r w:rsidRPr="004270E3">
        <w:t xml:space="preserve">Дата рождения: </w:t>
      </w:r>
      <w:r w:rsidRPr="00401A11">
        <w:t>19</w:t>
      </w:r>
      <w:r w:rsidR="00360224" w:rsidRPr="00401A11">
        <w:t>7</w:t>
      </w:r>
      <w:r w:rsidR="00C4176A">
        <w:t>9</w:t>
      </w:r>
      <w:r w:rsidR="00360224" w:rsidRPr="00401A11">
        <w:t xml:space="preserve"> год</w:t>
      </w:r>
      <w:r w:rsidRPr="00401A11">
        <w:t>;</w:t>
      </w:r>
    </w:p>
    <w:p w:rsidR="00D350B2" w:rsidRPr="00401A11" w:rsidRDefault="00D350B2" w:rsidP="00D350B2">
      <w:pPr>
        <w:ind w:firstLine="567"/>
        <w:jc w:val="both"/>
      </w:pPr>
      <w:r w:rsidRPr="00401A11">
        <w:t>Место жительства: Согласие лица на раскрытие персональных данных не получено;</w:t>
      </w:r>
    </w:p>
    <w:p w:rsidR="0074542A" w:rsidRPr="00401A11" w:rsidRDefault="0074542A" w:rsidP="00884AB8">
      <w:pPr>
        <w:ind w:firstLine="567"/>
        <w:jc w:val="both"/>
      </w:pPr>
      <w:r w:rsidRPr="00401A11">
        <w:t xml:space="preserve">Образование: </w:t>
      </w:r>
      <w:r w:rsidR="00D350B2" w:rsidRPr="00401A11">
        <w:t xml:space="preserve">высшее (окончил </w:t>
      </w:r>
      <w:r w:rsidR="005C7084" w:rsidRPr="00401A11">
        <w:rPr>
          <w:rStyle w:val="Subst"/>
          <w:b w:val="0"/>
          <w:bCs/>
          <w:i w:val="0"/>
          <w:iCs/>
        </w:rPr>
        <w:t>Уральскую государственную юридическую академию</w:t>
      </w:r>
      <w:r w:rsidR="00D350B2" w:rsidRPr="00401A11">
        <w:t>).</w:t>
      </w:r>
    </w:p>
    <w:p w:rsidR="0074542A" w:rsidRDefault="0074542A" w:rsidP="00884AB8">
      <w:pPr>
        <w:ind w:firstLine="567"/>
        <w:jc w:val="both"/>
      </w:pPr>
      <w:r w:rsidRPr="004270E3">
        <w:t>Должности, занимаемые за последние 5 лет:</w:t>
      </w:r>
    </w:p>
    <w:p w:rsidR="00706F78" w:rsidRDefault="00706F78" w:rsidP="00884AB8">
      <w:pPr>
        <w:ind w:firstLine="567"/>
        <w:jc w:val="both"/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0"/>
        <w:gridCol w:w="1599"/>
        <w:gridCol w:w="3362"/>
        <w:gridCol w:w="3298"/>
      </w:tblGrid>
      <w:tr w:rsidR="00401A11" w:rsidRPr="00401A11" w:rsidTr="00526798">
        <w:tc>
          <w:tcPr>
            <w:tcW w:w="315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401A11" w:rsidP="00F5779C">
            <w:pPr>
              <w:jc w:val="center"/>
            </w:pPr>
            <w:r w:rsidRPr="00401A11">
              <w:t>Период</w:t>
            </w:r>
          </w:p>
        </w:tc>
        <w:tc>
          <w:tcPr>
            <w:tcW w:w="33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401A11" w:rsidP="00F5779C">
            <w:pPr>
              <w:jc w:val="center"/>
            </w:pPr>
            <w:r w:rsidRPr="00401A11">
              <w:t>Наименование организации</w:t>
            </w:r>
          </w:p>
        </w:tc>
        <w:tc>
          <w:tcPr>
            <w:tcW w:w="329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01A11" w:rsidRPr="00401A11" w:rsidRDefault="00401A11" w:rsidP="00F5779C">
            <w:pPr>
              <w:jc w:val="center"/>
            </w:pPr>
            <w:r w:rsidRPr="00401A11">
              <w:t>Должность</w:t>
            </w:r>
          </w:p>
        </w:tc>
      </w:tr>
      <w:tr w:rsidR="00401A11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401A11" w:rsidP="00F5779C">
            <w:pPr>
              <w:jc w:val="center"/>
            </w:pPr>
            <w:r w:rsidRPr="00401A11">
              <w:t>с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401A11" w:rsidP="00F5779C">
            <w:pPr>
              <w:jc w:val="center"/>
            </w:pPr>
            <w:r w:rsidRPr="00401A11">
              <w:t>по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401A11" w:rsidP="00F5779C"/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01A11" w:rsidRPr="00401A11" w:rsidRDefault="00401A11" w:rsidP="00F5779C"/>
        </w:tc>
      </w:tr>
      <w:tr w:rsidR="007876E0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7876E0" w:rsidP="00A70488">
            <w:r>
              <w:t>06</w:t>
            </w:r>
            <w:r w:rsidRPr="00401A11">
              <w:t>.0</w:t>
            </w:r>
            <w:r>
              <w:t>5</w:t>
            </w:r>
            <w:r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547B68" w:rsidP="00F5779C">
            <w:r>
              <w:t>24.02.22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7876E0" w:rsidP="005F26EE">
            <w:r w:rsidRPr="00401A11">
              <w:t xml:space="preserve">ООО </w:t>
            </w:r>
            <w:r w:rsidR="005F26EE">
              <w:t>«</w:t>
            </w:r>
            <w:proofErr w:type="spellStart"/>
            <w:r w:rsidRPr="00401A11">
              <w:t>Мэйз</w:t>
            </w:r>
            <w:proofErr w:type="spellEnd"/>
            <w:r w:rsidRPr="00401A11">
              <w:t xml:space="preserve"> </w:t>
            </w:r>
            <w:proofErr w:type="spellStart"/>
            <w:r w:rsidRPr="00401A11">
              <w:t>р</w:t>
            </w:r>
            <w:r w:rsidR="005F26EE">
              <w:t>иэлти</w:t>
            </w:r>
            <w:proofErr w:type="spellEnd"/>
            <w:r w:rsidR="005F26EE">
              <w:t>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6E0" w:rsidRPr="00401A11" w:rsidRDefault="00C27239" w:rsidP="00C27239">
            <w:r w:rsidRPr="00401A11">
              <w:t>Г</w:t>
            </w:r>
            <w:r w:rsidR="007876E0" w:rsidRPr="00401A11">
              <w:t>енеральный</w:t>
            </w:r>
            <w:r>
              <w:t xml:space="preserve"> </w:t>
            </w:r>
            <w:r w:rsidR="007876E0" w:rsidRPr="00401A11">
              <w:t>директор</w:t>
            </w:r>
          </w:p>
        </w:tc>
      </w:tr>
      <w:tr w:rsidR="007876E0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7876E0" w:rsidP="00A70488">
            <w:r>
              <w:t>06</w:t>
            </w:r>
            <w:r w:rsidRPr="00401A11">
              <w:t>.0</w:t>
            </w:r>
            <w:r>
              <w:t>5</w:t>
            </w:r>
            <w:r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547B68" w:rsidP="00F5779C">
            <w:r>
              <w:t>24.02.22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7876E0" w:rsidP="005F26EE">
            <w:r w:rsidRPr="00401A11">
              <w:t xml:space="preserve">ООО </w:t>
            </w:r>
            <w:r w:rsidR="005F26EE">
              <w:t>«</w:t>
            </w:r>
            <w:proofErr w:type="spellStart"/>
            <w:r w:rsidR="005F26EE">
              <w:t>Мэйз</w:t>
            </w:r>
            <w:proofErr w:type="spellEnd"/>
            <w:r w:rsidR="005F26EE">
              <w:t xml:space="preserve"> </w:t>
            </w:r>
            <w:proofErr w:type="spellStart"/>
            <w:r w:rsidR="005F26EE">
              <w:t>риэлти</w:t>
            </w:r>
            <w:proofErr w:type="spellEnd"/>
            <w:r w:rsidR="005F26EE">
              <w:t>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6E0" w:rsidRPr="00401A11" w:rsidRDefault="00C27239" w:rsidP="00C27239">
            <w:r w:rsidRPr="00401A11">
              <w:t>Г</w:t>
            </w:r>
            <w:r w:rsidR="007876E0" w:rsidRPr="00401A11">
              <w:t>лавный</w:t>
            </w:r>
            <w:r>
              <w:t xml:space="preserve"> </w:t>
            </w:r>
            <w:r w:rsidR="007876E0" w:rsidRPr="00401A11">
              <w:t>бухгалтер</w:t>
            </w:r>
          </w:p>
        </w:tc>
      </w:tr>
      <w:tr w:rsidR="00401A11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7876E0" w:rsidP="007876E0">
            <w:r>
              <w:t>06</w:t>
            </w:r>
            <w:r w:rsidR="00401A11" w:rsidRPr="00401A11">
              <w:t>.0</w:t>
            </w:r>
            <w:r>
              <w:t>5</w:t>
            </w:r>
            <w:r w:rsidR="00401A11"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401A11" w:rsidP="00F5779C">
            <w:r w:rsidRPr="00401A11">
              <w:t>настоящее время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A11" w:rsidRPr="00401A11" w:rsidRDefault="005F26EE" w:rsidP="00F5779C">
            <w:r>
              <w:t>ООО «НПФ»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01A11" w:rsidRPr="00401A11" w:rsidRDefault="00C27239" w:rsidP="00F5779C">
            <w:r w:rsidRPr="00401A11">
              <w:t>Д</w:t>
            </w:r>
            <w:r w:rsidR="00401A11" w:rsidRPr="00401A11">
              <w:t>иректор</w:t>
            </w:r>
            <w:r>
              <w:t xml:space="preserve"> </w:t>
            </w:r>
          </w:p>
        </w:tc>
      </w:tr>
      <w:tr w:rsidR="007876E0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7876E0" w:rsidP="00A70488">
            <w:r>
              <w:t>06</w:t>
            </w:r>
            <w:r w:rsidRPr="00401A11">
              <w:t>.0</w:t>
            </w:r>
            <w:r>
              <w:t>5</w:t>
            </w:r>
            <w:r w:rsidRPr="00401A11">
              <w:t>.</w:t>
            </w:r>
            <w:r>
              <w:t>14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7876E0" w:rsidP="00F5779C">
            <w:r w:rsidRPr="00401A11">
              <w:t>настоящее время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6E0" w:rsidRPr="00401A11" w:rsidRDefault="005F26EE" w:rsidP="00F5779C">
            <w:r>
              <w:t>ООО «НПФ»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876E0" w:rsidRPr="00401A11" w:rsidRDefault="00C27239" w:rsidP="00C27239">
            <w:r w:rsidRPr="00401A11">
              <w:t>Г</w:t>
            </w:r>
            <w:r w:rsidR="007876E0" w:rsidRPr="00401A11">
              <w:t>лавный</w:t>
            </w:r>
            <w:r>
              <w:t xml:space="preserve"> </w:t>
            </w:r>
            <w:r w:rsidR="007876E0" w:rsidRPr="00401A11">
              <w:t>бухгалтер</w:t>
            </w:r>
          </w:p>
        </w:tc>
      </w:tr>
      <w:tr w:rsidR="0037501D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7501D" w:rsidRDefault="0037501D" w:rsidP="00A70488">
            <w:r>
              <w:t>01.11.16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1D" w:rsidRPr="00401A11" w:rsidRDefault="002C0B61" w:rsidP="00F5779C">
            <w:r>
              <w:t>31.05.21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1D" w:rsidRPr="00401A11" w:rsidRDefault="0037501D" w:rsidP="00F5779C">
            <w:r w:rsidRPr="0037501D">
              <w:t>АО «ВЕРТИКАЛЬ»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7501D" w:rsidRPr="00401A11" w:rsidRDefault="0037501D" w:rsidP="00C27239">
            <w:r w:rsidRPr="0037501D">
              <w:t>Генеральный директор</w:t>
            </w:r>
          </w:p>
        </w:tc>
      </w:tr>
      <w:tr w:rsidR="00C261DB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261DB" w:rsidRDefault="0006674E" w:rsidP="00A70488">
            <w:r>
              <w:t>2005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DB" w:rsidRPr="00401A11" w:rsidRDefault="00C261DB" w:rsidP="00F5779C">
            <w:r>
              <w:t>2019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DB" w:rsidRPr="0037501D" w:rsidRDefault="00C261DB" w:rsidP="00F5779C">
            <w:r>
              <w:t>ООО «УГМК-Холдинг»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261DB" w:rsidRPr="0037501D" w:rsidRDefault="00C261DB" w:rsidP="00C27239">
            <w:r>
              <w:t>Начальник отдела корпоративного мониторинга</w:t>
            </w:r>
          </w:p>
        </w:tc>
      </w:tr>
      <w:tr w:rsidR="00401A11" w:rsidRPr="00401A11" w:rsidTr="00526798"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01A11" w:rsidRPr="00401A11" w:rsidRDefault="00C27239" w:rsidP="00EE57F7">
            <w:r>
              <w:t>20</w:t>
            </w:r>
            <w:r w:rsidR="00EE57F7">
              <w:t>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1A11" w:rsidRPr="00401A11" w:rsidRDefault="00401A11" w:rsidP="00F5779C">
            <w:r w:rsidRPr="00401A11">
              <w:t>настоящее время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01A11" w:rsidRPr="00AC35C9" w:rsidRDefault="00401A11" w:rsidP="00EE57F7">
            <w:pPr>
              <w:rPr>
                <w:highlight w:val="yellow"/>
              </w:rPr>
            </w:pPr>
            <w:r w:rsidRPr="004936D4">
              <w:t>О</w:t>
            </w:r>
            <w:r w:rsidR="00EE57F7">
              <w:t>А</w:t>
            </w:r>
            <w:r w:rsidRPr="004936D4">
              <w:t xml:space="preserve">О </w:t>
            </w:r>
            <w:r w:rsidR="005F26EE">
              <w:t>«</w:t>
            </w:r>
            <w:r w:rsidR="007876E0" w:rsidRPr="004936D4">
              <w:t>УГМК</w:t>
            </w:r>
            <w:r w:rsidR="005F26EE">
              <w:t>»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01A11" w:rsidRPr="00401A11" w:rsidRDefault="007876E0" w:rsidP="00F5779C">
            <w:r>
              <w:t>Начальник отдела корпоративного мониторинга</w:t>
            </w:r>
          </w:p>
        </w:tc>
      </w:tr>
    </w:tbl>
    <w:p w:rsidR="00A8353C" w:rsidRDefault="00A8353C" w:rsidP="00884AB8">
      <w:pPr>
        <w:ind w:firstLine="567"/>
        <w:jc w:val="both"/>
      </w:pPr>
    </w:p>
    <w:p w:rsidR="0074542A" w:rsidRDefault="005F13C8" w:rsidP="00884AB8">
      <w:pPr>
        <w:ind w:firstLine="567"/>
        <w:jc w:val="both"/>
      </w:pPr>
      <w:r w:rsidRPr="004270E3">
        <w:t xml:space="preserve">Доля участия в уставном капитале общества: </w:t>
      </w:r>
      <w:r w:rsidR="00401A11">
        <w:t>0</w:t>
      </w:r>
      <w:r w:rsidRPr="004270E3">
        <w:t>;</w:t>
      </w:r>
    </w:p>
    <w:p w:rsidR="00526798" w:rsidRPr="004270E3" w:rsidRDefault="00526798" w:rsidP="00884AB8">
      <w:pPr>
        <w:ind w:firstLine="567"/>
        <w:jc w:val="both"/>
      </w:pPr>
      <w:r>
        <w:t>Сделки с долями в уставном капитале Общества лицом, занимающим должность единоличного исполнительного органа, не совершались;</w:t>
      </w:r>
    </w:p>
    <w:p w:rsidR="00BE3840" w:rsidRDefault="005F13C8" w:rsidP="00BE3840">
      <w:pPr>
        <w:ind w:firstLine="567"/>
        <w:jc w:val="both"/>
      </w:pPr>
      <w:r w:rsidRPr="004270E3">
        <w:t>Коллегиальный исполнительный орган уставом общества не предусмотрен.</w:t>
      </w:r>
    </w:p>
    <w:p w:rsidR="00C21973" w:rsidRDefault="00C21973" w:rsidP="00BE3840">
      <w:pPr>
        <w:ind w:firstLine="567"/>
        <w:jc w:val="both"/>
      </w:pPr>
    </w:p>
    <w:p w:rsidR="002E1229" w:rsidRPr="004270E3" w:rsidRDefault="009630A3" w:rsidP="00C27239">
      <w:pPr>
        <w:pStyle w:val="2"/>
        <w:numPr>
          <w:ilvl w:val="0"/>
          <w:numId w:val="2"/>
        </w:numPr>
        <w:spacing w:before="0"/>
        <w:jc w:val="both"/>
        <w:rPr>
          <w:color w:val="auto"/>
          <w:sz w:val="24"/>
          <w:szCs w:val="24"/>
        </w:rPr>
      </w:pPr>
      <w:bookmarkStart w:id="65" w:name="_Toc67038539"/>
      <w:bookmarkStart w:id="66" w:name="_Toc67038652"/>
      <w:r w:rsidRPr="004270E3">
        <w:rPr>
          <w:color w:val="auto"/>
          <w:sz w:val="24"/>
          <w:szCs w:val="24"/>
        </w:rPr>
        <w:lastRenderedPageBreak/>
        <w:t>С</w:t>
      </w:r>
      <w:r w:rsidR="00E947CF" w:rsidRPr="004270E3">
        <w:rPr>
          <w:color w:val="auto"/>
          <w:sz w:val="24"/>
          <w:szCs w:val="24"/>
        </w:rPr>
        <w:t>ведения о соблюдении акционерным обществом К</w:t>
      </w:r>
      <w:r w:rsidRPr="004270E3">
        <w:rPr>
          <w:color w:val="auto"/>
          <w:sz w:val="24"/>
          <w:szCs w:val="24"/>
        </w:rPr>
        <w:t xml:space="preserve">одекса корпоративного </w:t>
      </w:r>
      <w:r w:rsidR="007F26AC">
        <w:rPr>
          <w:color w:val="auto"/>
          <w:sz w:val="24"/>
          <w:szCs w:val="24"/>
          <w:lang w:val="ru-RU"/>
        </w:rPr>
        <w:t>управления</w:t>
      </w:r>
      <w:bookmarkEnd w:id="65"/>
      <w:bookmarkEnd w:id="66"/>
    </w:p>
    <w:p w:rsidR="002E1229" w:rsidRPr="004270E3" w:rsidRDefault="002E1229" w:rsidP="00884AB8">
      <w:pPr>
        <w:pStyle w:val="2"/>
        <w:spacing w:before="0"/>
        <w:ind w:left="720"/>
        <w:jc w:val="both"/>
        <w:rPr>
          <w:color w:val="auto"/>
          <w:sz w:val="24"/>
          <w:szCs w:val="24"/>
        </w:rPr>
      </w:pPr>
    </w:p>
    <w:p w:rsidR="004A33A4" w:rsidRDefault="00BB54ED" w:rsidP="009903EE">
      <w:pPr>
        <w:ind w:firstLine="567"/>
        <w:jc w:val="both"/>
      </w:pPr>
      <w:r w:rsidRPr="004270E3">
        <w:t xml:space="preserve">Кодекс корпоративного </w:t>
      </w:r>
      <w:r w:rsidR="007F26AC">
        <w:t>управления</w:t>
      </w:r>
      <w:r w:rsidRPr="004270E3">
        <w:t xml:space="preserve"> </w:t>
      </w:r>
      <w:r w:rsidR="00CE73F3">
        <w:t>ОО</w:t>
      </w:r>
      <w:r w:rsidRPr="004270E3">
        <w:t xml:space="preserve">О </w:t>
      </w:r>
      <w:r w:rsidR="00BE3840">
        <w:t>«</w:t>
      </w:r>
      <w:r w:rsidR="00CE73F3">
        <w:t>НПФ</w:t>
      </w:r>
      <w:r w:rsidR="009903EE">
        <w:t>» не принят.</w:t>
      </w:r>
    </w:p>
    <w:p w:rsidR="009B3C67" w:rsidRDefault="009B3C67" w:rsidP="009903EE">
      <w:pPr>
        <w:ind w:firstLine="567"/>
        <w:jc w:val="both"/>
      </w:pPr>
    </w:p>
    <w:sectPr w:rsidR="009B3C67" w:rsidSect="004051C3">
      <w:pgSz w:w="11904" w:h="16836"/>
      <w:pgMar w:top="680" w:right="851" w:bottom="567" w:left="1134" w:header="45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A0" w:rsidRDefault="00D469A0" w:rsidP="00BB54ED">
      <w:r>
        <w:separator/>
      </w:r>
    </w:p>
  </w:endnote>
  <w:endnote w:type="continuationSeparator" w:id="0">
    <w:p w:rsidR="00D469A0" w:rsidRDefault="00D469A0" w:rsidP="00BB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Handbook Pro Black">
    <w:altName w:val="PF Handbook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Handbook Pro Thin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A4" w:rsidRDefault="004A33A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95897">
      <w:rPr>
        <w:noProof/>
      </w:rPr>
      <w:t>10</w:t>
    </w:r>
    <w:r>
      <w:fldChar w:fldCharType="end"/>
    </w:r>
  </w:p>
  <w:p w:rsidR="004A33A4" w:rsidRDefault="004A33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A0" w:rsidRDefault="00D469A0" w:rsidP="00BB54ED">
      <w:r>
        <w:separator/>
      </w:r>
    </w:p>
  </w:footnote>
  <w:footnote w:type="continuationSeparator" w:id="0">
    <w:p w:rsidR="00D469A0" w:rsidRDefault="00D469A0" w:rsidP="00BB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21D"/>
    <w:multiLevelType w:val="hybridMultilevel"/>
    <w:tmpl w:val="84288F08"/>
    <w:lvl w:ilvl="0" w:tplc="51E2B7F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3D1885"/>
    <w:multiLevelType w:val="hybridMultilevel"/>
    <w:tmpl w:val="05F24EFC"/>
    <w:lvl w:ilvl="0" w:tplc="E5A213E8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87763F"/>
    <w:multiLevelType w:val="hybridMultilevel"/>
    <w:tmpl w:val="8A869F70"/>
    <w:lvl w:ilvl="0" w:tplc="8C02967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C4D9F"/>
    <w:multiLevelType w:val="hybridMultilevel"/>
    <w:tmpl w:val="909E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A213E"/>
    <w:multiLevelType w:val="hybridMultilevel"/>
    <w:tmpl w:val="914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50EE6"/>
    <w:multiLevelType w:val="hybridMultilevel"/>
    <w:tmpl w:val="394C8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5146DD"/>
    <w:multiLevelType w:val="hybridMultilevel"/>
    <w:tmpl w:val="0DCCAB38"/>
    <w:lvl w:ilvl="0" w:tplc="44C6C16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0C641227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119D5D30"/>
    <w:multiLevelType w:val="hybridMultilevel"/>
    <w:tmpl w:val="12ACD6E2"/>
    <w:lvl w:ilvl="0" w:tplc="39D63EF0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092689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282B3B6B"/>
    <w:multiLevelType w:val="hybridMultilevel"/>
    <w:tmpl w:val="B606A4F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A3B59C8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2A4857BF"/>
    <w:multiLevelType w:val="hybridMultilevel"/>
    <w:tmpl w:val="CC125F72"/>
    <w:lvl w:ilvl="0" w:tplc="03AA0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733FA6"/>
    <w:multiLevelType w:val="multilevel"/>
    <w:tmpl w:val="76B44EF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E7A2B83"/>
    <w:multiLevelType w:val="multilevel"/>
    <w:tmpl w:val="E54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95183"/>
    <w:multiLevelType w:val="hybridMultilevel"/>
    <w:tmpl w:val="B456C596"/>
    <w:lvl w:ilvl="0" w:tplc="3192F6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452D34"/>
    <w:multiLevelType w:val="hybridMultilevel"/>
    <w:tmpl w:val="5CEE95BA"/>
    <w:lvl w:ilvl="0" w:tplc="671AE7E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37B01633"/>
    <w:multiLevelType w:val="hybridMultilevel"/>
    <w:tmpl w:val="914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192120"/>
    <w:multiLevelType w:val="hybridMultilevel"/>
    <w:tmpl w:val="394C8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C256995"/>
    <w:multiLevelType w:val="hybridMultilevel"/>
    <w:tmpl w:val="31CA7D66"/>
    <w:lvl w:ilvl="0" w:tplc="34EE12E4">
      <w:start w:val="2"/>
      <w:numFmt w:val="decimalZero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C6032C6"/>
    <w:multiLevelType w:val="hybridMultilevel"/>
    <w:tmpl w:val="752CB0E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 w15:restartNumberingAfterBreak="0">
    <w:nsid w:val="4FEB294E"/>
    <w:multiLevelType w:val="hybridMultilevel"/>
    <w:tmpl w:val="D54E8C82"/>
    <w:lvl w:ilvl="0" w:tplc="B822698E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2" w15:restartNumberingAfterBreak="0">
    <w:nsid w:val="507735C1"/>
    <w:multiLevelType w:val="hybridMultilevel"/>
    <w:tmpl w:val="1B74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0721B1"/>
    <w:multiLevelType w:val="hybridMultilevel"/>
    <w:tmpl w:val="04F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813778"/>
    <w:multiLevelType w:val="hybridMultilevel"/>
    <w:tmpl w:val="676CF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3D66F5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17554E"/>
    <w:multiLevelType w:val="hybridMultilevel"/>
    <w:tmpl w:val="914A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E6C1893"/>
    <w:multiLevelType w:val="hybridMultilevel"/>
    <w:tmpl w:val="BBE022CA"/>
    <w:lvl w:ilvl="0" w:tplc="98D21E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cs="Times New Roman"/>
      </w:rPr>
    </w:lvl>
  </w:abstractNum>
  <w:abstractNum w:abstractNumId="27" w15:restartNumberingAfterBreak="0">
    <w:nsid w:val="62AB005E"/>
    <w:multiLevelType w:val="hybridMultilevel"/>
    <w:tmpl w:val="F2DA27B6"/>
    <w:lvl w:ilvl="0" w:tplc="EB908E48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32132D"/>
    <w:multiLevelType w:val="hybridMultilevel"/>
    <w:tmpl w:val="A41A03A4"/>
    <w:lvl w:ilvl="0" w:tplc="108C135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423CAF"/>
    <w:multiLevelType w:val="hybridMultilevel"/>
    <w:tmpl w:val="146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C3019E"/>
    <w:multiLevelType w:val="hybridMultilevel"/>
    <w:tmpl w:val="74D47C8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3D66F5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8055D9"/>
    <w:multiLevelType w:val="hybridMultilevel"/>
    <w:tmpl w:val="ED603720"/>
    <w:lvl w:ilvl="0" w:tplc="345E71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C4EB8"/>
    <w:multiLevelType w:val="hybridMultilevel"/>
    <w:tmpl w:val="87B82FC4"/>
    <w:lvl w:ilvl="0" w:tplc="EA345046">
      <w:start w:val="1"/>
      <w:numFmt w:val="decimal"/>
      <w:lvlText w:val="%1."/>
      <w:lvlJc w:val="left"/>
      <w:pPr>
        <w:ind w:left="1288" w:hanging="360"/>
      </w:pPr>
      <w:rPr>
        <w:rFonts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3" w15:restartNumberingAfterBreak="0">
    <w:nsid w:val="746106B6"/>
    <w:multiLevelType w:val="hybridMultilevel"/>
    <w:tmpl w:val="DA2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7574D7"/>
    <w:multiLevelType w:val="hybridMultilevel"/>
    <w:tmpl w:val="A56A527E"/>
    <w:lvl w:ilvl="0" w:tplc="295612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8FA4EB3"/>
    <w:multiLevelType w:val="hybridMultilevel"/>
    <w:tmpl w:val="3F004FE8"/>
    <w:lvl w:ilvl="0" w:tplc="152A3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B455B71"/>
    <w:multiLevelType w:val="hybridMultilevel"/>
    <w:tmpl w:val="AC5CDBE4"/>
    <w:lvl w:ilvl="0" w:tplc="2578B3F8">
      <w:start w:val="200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3"/>
  </w:num>
  <w:num w:numId="5">
    <w:abstractNumId w:val="6"/>
  </w:num>
  <w:num w:numId="6">
    <w:abstractNumId w:val="3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5"/>
  </w:num>
  <w:num w:numId="11">
    <w:abstractNumId w:val="2"/>
  </w:num>
  <w:num w:numId="12">
    <w:abstractNumId w:val="7"/>
  </w:num>
  <w:num w:numId="13">
    <w:abstractNumId w:val="30"/>
  </w:num>
  <w:num w:numId="14">
    <w:abstractNumId w:val="26"/>
  </w:num>
  <w:num w:numId="15">
    <w:abstractNumId w:val="13"/>
  </w:num>
  <w:num w:numId="16">
    <w:abstractNumId w:val="22"/>
  </w:num>
  <w:num w:numId="17">
    <w:abstractNumId w:val="29"/>
  </w:num>
  <w:num w:numId="18">
    <w:abstractNumId w:val="15"/>
  </w:num>
  <w:num w:numId="19">
    <w:abstractNumId w:val="27"/>
  </w:num>
  <w:num w:numId="20">
    <w:abstractNumId w:val="0"/>
  </w:num>
  <w:num w:numId="21">
    <w:abstractNumId w:val="11"/>
  </w:num>
  <w:num w:numId="22">
    <w:abstractNumId w:val="1"/>
  </w:num>
  <w:num w:numId="23">
    <w:abstractNumId w:val="21"/>
  </w:num>
  <w:num w:numId="24">
    <w:abstractNumId w:val="31"/>
  </w:num>
  <w:num w:numId="25">
    <w:abstractNumId w:val="32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4"/>
  </w:num>
  <w:num w:numId="31">
    <w:abstractNumId w:val="17"/>
  </w:num>
  <w:num w:numId="32">
    <w:abstractNumId w:val="4"/>
  </w:num>
  <w:num w:numId="33">
    <w:abstractNumId w:val="20"/>
  </w:num>
  <w:num w:numId="34">
    <w:abstractNumId w:val="9"/>
  </w:num>
  <w:num w:numId="35">
    <w:abstractNumId w:val="5"/>
  </w:num>
  <w:num w:numId="36">
    <w:abstractNumId w:val="16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CF"/>
    <w:rsid w:val="000031D7"/>
    <w:rsid w:val="000036E5"/>
    <w:rsid w:val="00006E85"/>
    <w:rsid w:val="00010E90"/>
    <w:rsid w:val="000114EC"/>
    <w:rsid w:val="0001580C"/>
    <w:rsid w:val="00024324"/>
    <w:rsid w:val="000249CB"/>
    <w:rsid w:val="0002577F"/>
    <w:rsid w:val="00025786"/>
    <w:rsid w:val="00027FAF"/>
    <w:rsid w:val="000342CA"/>
    <w:rsid w:val="000369E0"/>
    <w:rsid w:val="000372AE"/>
    <w:rsid w:val="000412D0"/>
    <w:rsid w:val="000434AB"/>
    <w:rsid w:val="00043D4D"/>
    <w:rsid w:val="000500A9"/>
    <w:rsid w:val="00053354"/>
    <w:rsid w:val="00056110"/>
    <w:rsid w:val="000653BE"/>
    <w:rsid w:val="0006674E"/>
    <w:rsid w:val="000673F9"/>
    <w:rsid w:val="00070E5B"/>
    <w:rsid w:val="0007193B"/>
    <w:rsid w:val="00073CAF"/>
    <w:rsid w:val="00074455"/>
    <w:rsid w:val="000751DD"/>
    <w:rsid w:val="00080639"/>
    <w:rsid w:val="00080C52"/>
    <w:rsid w:val="0008291D"/>
    <w:rsid w:val="0008410A"/>
    <w:rsid w:val="00090628"/>
    <w:rsid w:val="00097344"/>
    <w:rsid w:val="000B05CD"/>
    <w:rsid w:val="000B382D"/>
    <w:rsid w:val="000C0018"/>
    <w:rsid w:val="000C122F"/>
    <w:rsid w:val="000C15E9"/>
    <w:rsid w:val="000C67C8"/>
    <w:rsid w:val="000D3BA0"/>
    <w:rsid w:val="000D6A3F"/>
    <w:rsid w:val="000E0E15"/>
    <w:rsid w:val="000E395E"/>
    <w:rsid w:val="000F4D74"/>
    <w:rsid w:val="000F5435"/>
    <w:rsid w:val="000F587A"/>
    <w:rsid w:val="000F631D"/>
    <w:rsid w:val="001004A7"/>
    <w:rsid w:val="00117CC9"/>
    <w:rsid w:val="001247CD"/>
    <w:rsid w:val="00125555"/>
    <w:rsid w:val="00133829"/>
    <w:rsid w:val="001340C1"/>
    <w:rsid w:val="00137CBE"/>
    <w:rsid w:val="001475B8"/>
    <w:rsid w:val="00156986"/>
    <w:rsid w:val="001622D5"/>
    <w:rsid w:val="00170252"/>
    <w:rsid w:val="00170448"/>
    <w:rsid w:val="0017496E"/>
    <w:rsid w:val="001771F6"/>
    <w:rsid w:val="001879E9"/>
    <w:rsid w:val="0019154A"/>
    <w:rsid w:val="00193755"/>
    <w:rsid w:val="00195897"/>
    <w:rsid w:val="001A2470"/>
    <w:rsid w:val="001A298E"/>
    <w:rsid w:val="001A4581"/>
    <w:rsid w:val="001B00CC"/>
    <w:rsid w:val="001B34A9"/>
    <w:rsid w:val="001B5713"/>
    <w:rsid w:val="001B75C6"/>
    <w:rsid w:val="001B7D8E"/>
    <w:rsid w:val="001C3871"/>
    <w:rsid w:val="001C63B8"/>
    <w:rsid w:val="001D17E7"/>
    <w:rsid w:val="001E0F01"/>
    <w:rsid w:val="001E10E2"/>
    <w:rsid w:val="001F0BF2"/>
    <w:rsid w:val="001F1160"/>
    <w:rsid w:val="001F1E39"/>
    <w:rsid w:val="001F6139"/>
    <w:rsid w:val="001F64D4"/>
    <w:rsid w:val="0020357B"/>
    <w:rsid w:val="00205701"/>
    <w:rsid w:val="002110F4"/>
    <w:rsid w:val="0021265F"/>
    <w:rsid w:val="0021365E"/>
    <w:rsid w:val="00233186"/>
    <w:rsid w:val="00245A27"/>
    <w:rsid w:val="00253B14"/>
    <w:rsid w:val="0026094E"/>
    <w:rsid w:val="00261410"/>
    <w:rsid w:val="0026729E"/>
    <w:rsid w:val="00273237"/>
    <w:rsid w:val="002808BD"/>
    <w:rsid w:val="00285F66"/>
    <w:rsid w:val="002943E5"/>
    <w:rsid w:val="002949EB"/>
    <w:rsid w:val="002A477A"/>
    <w:rsid w:val="002A678A"/>
    <w:rsid w:val="002B2BCF"/>
    <w:rsid w:val="002C0B61"/>
    <w:rsid w:val="002C27C8"/>
    <w:rsid w:val="002C2DAB"/>
    <w:rsid w:val="002C4F8C"/>
    <w:rsid w:val="002E1229"/>
    <w:rsid w:val="002E7A36"/>
    <w:rsid w:val="002F0168"/>
    <w:rsid w:val="002F22E1"/>
    <w:rsid w:val="003048C7"/>
    <w:rsid w:val="00304F00"/>
    <w:rsid w:val="003052D4"/>
    <w:rsid w:val="00305839"/>
    <w:rsid w:val="00314C90"/>
    <w:rsid w:val="003163A3"/>
    <w:rsid w:val="00317A25"/>
    <w:rsid w:val="00320A6B"/>
    <w:rsid w:val="00320F9E"/>
    <w:rsid w:val="00322AB9"/>
    <w:rsid w:val="003238C7"/>
    <w:rsid w:val="003318F1"/>
    <w:rsid w:val="0033327D"/>
    <w:rsid w:val="0034047B"/>
    <w:rsid w:val="00342627"/>
    <w:rsid w:val="00345F4A"/>
    <w:rsid w:val="00345FAF"/>
    <w:rsid w:val="00346FEB"/>
    <w:rsid w:val="00347216"/>
    <w:rsid w:val="00351FA7"/>
    <w:rsid w:val="00355A73"/>
    <w:rsid w:val="00356C4C"/>
    <w:rsid w:val="00356D11"/>
    <w:rsid w:val="00360224"/>
    <w:rsid w:val="00361E35"/>
    <w:rsid w:val="00371543"/>
    <w:rsid w:val="0037501D"/>
    <w:rsid w:val="0038003E"/>
    <w:rsid w:val="00383AA2"/>
    <w:rsid w:val="00384BDA"/>
    <w:rsid w:val="00385C44"/>
    <w:rsid w:val="00390813"/>
    <w:rsid w:val="00392325"/>
    <w:rsid w:val="003942F5"/>
    <w:rsid w:val="003A4175"/>
    <w:rsid w:val="003A4A4A"/>
    <w:rsid w:val="003B1AA6"/>
    <w:rsid w:val="003B37E3"/>
    <w:rsid w:val="003B4A5A"/>
    <w:rsid w:val="003B4ABB"/>
    <w:rsid w:val="003C1F31"/>
    <w:rsid w:val="003D0329"/>
    <w:rsid w:val="003D0804"/>
    <w:rsid w:val="003D4747"/>
    <w:rsid w:val="003D7909"/>
    <w:rsid w:val="003E3AFD"/>
    <w:rsid w:val="00400BB0"/>
    <w:rsid w:val="00401A11"/>
    <w:rsid w:val="00403B8B"/>
    <w:rsid w:val="004051C3"/>
    <w:rsid w:val="00405FEF"/>
    <w:rsid w:val="00412472"/>
    <w:rsid w:val="004136FE"/>
    <w:rsid w:val="00425563"/>
    <w:rsid w:val="004270E3"/>
    <w:rsid w:val="00427385"/>
    <w:rsid w:val="00431401"/>
    <w:rsid w:val="0043424A"/>
    <w:rsid w:val="004349EB"/>
    <w:rsid w:val="00437F63"/>
    <w:rsid w:val="00454691"/>
    <w:rsid w:val="004555DC"/>
    <w:rsid w:val="00456311"/>
    <w:rsid w:val="00461954"/>
    <w:rsid w:val="00463CC7"/>
    <w:rsid w:val="0046491C"/>
    <w:rsid w:val="0046606C"/>
    <w:rsid w:val="00466ABD"/>
    <w:rsid w:val="004814C8"/>
    <w:rsid w:val="00487C5D"/>
    <w:rsid w:val="004912DD"/>
    <w:rsid w:val="00491887"/>
    <w:rsid w:val="004936D4"/>
    <w:rsid w:val="004A2D55"/>
    <w:rsid w:val="004A33A4"/>
    <w:rsid w:val="004A388D"/>
    <w:rsid w:val="004A3E7B"/>
    <w:rsid w:val="004A402E"/>
    <w:rsid w:val="004A69DF"/>
    <w:rsid w:val="004A6E84"/>
    <w:rsid w:val="004B0BD3"/>
    <w:rsid w:val="004B62A1"/>
    <w:rsid w:val="004C0977"/>
    <w:rsid w:val="004D1046"/>
    <w:rsid w:val="004D5F52"/>
    <w:rsid w:val="004E2836"/>
    <w:rsid w:val="004E3B55"/>
    <w:rsid w:val="004E4BAF"/>
    <w:rsid w:val="004E7250"/>
    <w:rsid w:val="004E7331"/>
    <w:rsid w:val="004F04E5"/>
    <w:rsid w:val="004F7389"/>
    <w:rsid w:val="0050214B"/>
    <w:rsid w:val="00502600"/>
    <w:rsid w:val="00507F2E"/>
    <w:rsid w:val="005136B4"/>
    <w:rsid w:val="0052000C"/>
    <w:rsid w:val="0052023E"/>
    <w:rsid w:val="00522D1E"/>
    <w:rsid w:val="00526798"/>
    <w:rsid w:val="00530A15"/>
    <w:rsid w:val="0053251D"/>
    <w:rsid w:val="005414CC"/>
    <w:rsid w:val="0054242A"/>
    <w:rsid w:val="00547B68"/>
    <w:rsid w:val="005504CA"/>
    <w:rsid w:val="00552EBD"/>
    <w:rsid w:val="00554A3A"/>
    <w:rsid w:val="00556990"/>
    <w:rsid w:val="00557734"/>
    <w:rsid w:val="0056438E"/>
    <w:rsid w:val="00581E55"/>
    <w:rsid w:val="00582602"/>
    <w:rsid w:val="0058291C"/>
    <w:rsid w:val="005829D7"/>
    <w:rsid w:val="00591D08"/>
    <w:rsid w:val="005948EE"/>
    <w:rsid w:val="005A0BAE"/>
    <w:rsid w:val="005A457B"/>
    <w:rsid w:val="005A639F"/>
    <w:rsid w:val="005C0B90"/>
    <w:rsid w:val="005C1C10"/>
    <w:rsid w:val="005C3F60"/>
    <w:rsid w:val="005C47A5"/>
    <w:rsid w:val="005C7084"/>
    <w:rsid w:val="005D0B9D"/>
    <w:rsid w:val="005D272E"/>
    <w:rsid w:val="005D31C0"/>
    <w:rsid w:val="005E1839"/>
    <w:rsid w:val="005E33C3"/>
    <w:rsid w:val="005E4858"/>
    <w:rsid w:val="005E5276"/>
    <w:rsid w:val="005E7B23"/>
    <w:rsid w:val="005F0620"/>
    <w:rsid w:val="005F13C8"/>
    <w:rsid w:val="005F26EE"/>
    <w:rsid w:val="005F7D25"/>
    <w:rsid w:val="006070B0"/>
    <w:rsid w:val="00607788"/>
    <w:rsid w:val="006148F9"/>
    <w:rsid w:val="00614E67"/>
    <w:rsid w:val="006157DA"/>
    <w:rsid w:val="00617F13"/>
    <w:rsid w:val="00622C2C"/>
    <w:rsid w:val="00627AD5"/>
    <w:rsid w:val="00631AA6"/>
    <w:rsid w:val="00633AAD"/>
    <w:rsid w:val="00635BC8"/>
    <w:rsid w:val="0063735A"/>
    <w:rsid w:val="00647B2F"/>
    <w:rsid w:val="006524EF"/>
    <w:rsid w:val="00652B82"/>
    <w:rsid w:val="00665DC7"/>
    <w:rsid w:val="00675378"/>
    <w:rsid w:val="00677CBD"/>
    <w:rsid w:val="0068289B"/>
    <w:rsid w:val="006976E5"/>
    <w:rsid w:val="006A2C70"/>
    <w:rsid w:val="006B1D6C"/>
    <w:rsid w:val="006B2273"/>
    <w:rsid w:val="006B35FC"/>
    <w:rsid w:val="006B4C29"/>
    <w:rsid w:val="006C73D2"/>
    <w:rsid w:val="006D6168"/>
    <w:rsid w:val="006E0007"/>
    <w:rsid w:val="006E323E"/>
    <w:rsid w:val="006F5AC9"/>
    <w:rsid w:val="0070179A"/>
    <w:rsid w:val="00706F78"/>
    <w:rsid w:val="00707500"/>
    <w:rsid w:val="00711DB7"/>
    <w:rsid w:val="00717911"/>
    <w:rsid w:val="007234DC"/>
    <w:rsid w:val="007263D9"/>
    <w:rsid w:val="00730469"/>
    <w:rsid w:val="007333D6"/>
    <w:rsid w:val="007352A1"/>
    <w:rsid w:val="007362C8"/>
    <w:rsid w:val="00741163"/>
    <w:rsid w:val="007434B0"/>
    <w:rsid w:val="00743705"/>
    <w:rsid w:val="007439A5"/>
    <w:rsid w:val="0074542A"/>
    <w:rsid w:val="00746114"/>
    <w:rsid w:val="00746C50"/>
    <w:rsid w:val="00753BA5"/>
    <w:rsid w:val="00757EB5"/>
    <w:rsid w:val="007606B5"/>
    <w:rsid w:val="007644BC"/>
    <w:rsid w:val="0076607B"/>
    <w:rsid w:val="0077167F"/>
    <w:rsid w:val="007752EC"/>
    <w:rsid w:val="00776926"/>
    <w:rsid w:val="007775C5"/>
    <w:rsid w:val="00784916"/>
    <w:rsid w:val="007866BF"/>
    <w:rsid w:val="007876E0"/>
    <w:rsid w:val="00792C5E"/>
    <w:rsid w:val="00794BDF"/>
    <w:rsid w:val="007B279E"/>
    <w:rsid w:val="007B6BC0"/>
    <w:rsid w:val="007D48CB"/>
    <w:rsid w:val="007D4FF6"/>
    <w:rsid w:val="007E2AE5"/>
    <w:rsid w:val="007E7C6E"/>
    <w:rsid w:val="007F0D18"/>
    <w:rsid w:val="007F26AC"/>
    <w:rsid w:val="007F6777"/>
    <w:rsid w:val="00800F9E"/>
    <w:rsid w:val="008017E6"/>
    <w:rsid w:val="00803FE9"/>
    <w:rsid w:val="00805EC3"/>
    <w:rsid w:val="0080666A"/>
    <w:rsid w:val="0083143F"/>
    <w:rsid w:val="00831CF4"/>
    <w:rsid w:val="0083284B"/>
    <w:rsid w:val="0083357F"/>
    <w:rsid w:val="00833DB4"/>
    <w:rsid w:val="00836AE0"/>
    <w:rsid w:val="0084022E"/>
    <w:rsid w:val="00843537"/>
    <w:rsid w:val="00843B94"/>
    <w:rsid w:val="008448A1"/>
    <w:rsid w:val="00855CE0"/>
    <w:rsid w:val="008647E7"/>
    <w:rsid w:val="00870AAE"/>
    <w:rsid w:val="00870B77"/>
    <w:rsid w:val="00874797"/>
    <w:rsid w:val="008762A8"/>
    <w:rsid w:val="00877021"/>
    <w:rsid w:val="00880265"/>
    <w:rsid w:val="00881635"/>
    <w:rsid w:val="00884AB8"/>
    <w:rsid w:val="00892254"/>
    <w:rsid w:val="00892326"/>
    <w:rsid w:val="00893229"/>
    <w:rsid w:val="0089340F"/>
    <w:rsid w:val="00894985"/>
    <w:rsid w:val="008A081A"/>
    <w:rsid w:val="008A405A"/>
    <w:rsid w:val="008A5DDA"/>
    <w:rsid w:val="008A65D9"/>
    <w:rsid w:val="008A7DCB"/>
    <w:rsid w:val="008B6C09"/>
    <w:rsid w:val="008B6CB7"/>
    <w:rsid w:val="008C1E3D"/>
    <w:rsid w:val="008D1FEF"/>
    <w:rsid w:val="008D4FD5"/>
    <w:rsid w:val="008D5B54"/>
    <w:rsid w:val="008D7C9F"/>
    <w:rsid w:val="008D7DB0"/>
    <w:rsid w:val="008E0D2E"/>
    <w:rsid w:val="008E543C"/>
    <w:rsid w:val="008E6FD5"/>
    <w:rsid w:val="008F2438"/>
    <w:rsid w:val="008F24E9"/>
    <w:rsid w:val="008F2576"/>
    <w:rsid w:val="008F54BF"/>
    <w:rsid w:val="008F6D38"/>
    <w:rsid w:val="008F7E24"/>
    <w:rsid w:val="00901FCA"/>
    <w:rsid w:val="00910F5B"/>
    <w:rsid w:val="009120C3"/>
    <w:rsid w:val="00913CA2"/>
    <w:rsid w:val="00915DC3"/>
    <w:rsid w:val="009173B0"/>
    <w:rsid w:val="009201A3"/>
    <w:rsid w:val="00927D11"/>
    <w:rsid w:val="00942572"/>
    <w:rsid w:val="009433A8"/>
    <w:rsid w:val="00952A12"/>
    <w:rsid w:val="009564D2"/>
    <w:rsid w:val="00957EDF"/>
    <w:rsid w:val="009630A3"/>
    <w:rsid w:val="00975F2F"/>
    <w:rsid w:val="00977468"/>
    <w:rsid w:val="009864F5"/>
    <w:rsid w:val="009903EE"/>
    <w:rsid w:val="009A11E5"/>
    <w:rsid w:val="009B0A61"/>
    <w:rsid w:val="009B3C67"/>
    <w:rsid w:val="009C0772"/>
    <w:rsid w:val="009C0E8B"/>
    <w:rsid w:val="009D29AD"/>
    <w:rsid w:val="009E00BA"/>
    <w:rsid w:val="009E162D"/>
    <w:rsid w:val="009E1DF7"/>
    <w:rsid w:val="009E3EB1"/>
    <w:rsid w:val="009E517F"/>
    <w:rsid w:val="009E57F3"/>
    <w:rsid w:val="009F63EF"/>
    <w:rsid w:val="009F7B97"/>
    <w:rsid w:val="00A0172C"/>
    <w:rsid w:val="00A03606"/>
    <w:rsid w:val="00A046A3"/>
    <w:rsid w:val="00A11B0E"/>
    <w:rsid w:val="00A13CE8"/>
    <w:rsid w:val="00A1468F"/>
    <w:rsid w:val="00A16478"/>
    <w:rsid w:val="00A239D6"/>
    <w:rsid w:val="00A23B22"/>
    <w:rsid w:val="00A352C6"/>
    <w:rsid w:val="00A35E41"/>
    <w:rsid w:val="00A47C2E"/>
    <w:rsid w:val="00A522AA"/>
    <w:rsid w:val="00A539B0"/>
    <w:rsid w:val="00A56251"/>
    <w:rsid w:val="00A56D4D"/>
    <w:rsid w:val="00A57C22"/>
    <w:rsid w:val="00A611AB"/>
    <w:rsid w:val="00A62C38"/>
    <w:rsid w:val="00A70488"/>
    <w:rsid w:val="00A707DA"/>
    <w:rsid w:val="00A72547"/>
    <w:rsid w:val="00A771C3"/>
    <w:rsid w:val="00A8353C"/>
    <w:rsid w:val="00A83617"/>
    <w:rsid w:val="00A83E41"/>
    <w:rsid w:val="00A937AA"/>
    <w:rsid w:val="00A94E91"/>
    <w:rsid w:val="00A96756"/>
    <w:rsid w:val="00AA05AB"/>
    <w:rsid w:val="00AA2D98"/>
    <w:rsid w:val="00AA5995"/>
    <w:rsid w:val="00AB180D"/>
    <w:rsid w:val="00AB65EA"/>
    <w:rsid w:val="00AC35C9"/>
    <w:rsid w:val="00AD292C"/>
    <w:rsid w:val="00AE16DF"/>
    <w:rsid w:val="00AE3C85"/>
    <w:rsid w:val="00AF0421"/>
    <w:rsid w:val="00AF452F"/>
    <w:rsid w:val="00AF6A0E"/>
    <w:rsid w:val="00B07824"/>
    <w:rsid w:val="00B11AD0"/>
    <w:rsid w:val="00B12657"/>
    <w:rsid w:val="00B1336E"/>
    <w:rsid w:val="00B1705A"/>
    <w:rsid w:val="00B17E1A"/>
    <w:rsid w:val="00B21FA4"/>
    <w:rsid w:val="00B269EB"/>
    <w:rsid w:val="00B31538"/>
    <w:rsid w:val="00B32741"/>
    <w:rsid w:val="00B4014F"/>
    <w:rsid w:val="00B4178B"/>
    <w:rsid w:val="00B50CA4"/>
    <w:rsid w:val="00B524ED"/>
    <w:rsid w:val="00B55032"/>
    <w:rsid w:val="00B56037"/>
    <w:rsid w:val="00B56543"/>
    <w:rsid w:val="00B604C6"/>
    <w:rsid w:val="00B6541D"/>
    <w:rsid w:val="00B6758B"/>
    <w:rsid w:val="00B770E5"/>
    <w:rsid w:val="00B81032"/>
    <w:rsid w:val="00B86A85"/>
    <w:rsid w:val="00BA471B"/>
    <w:rsid w:val="00BB1A99"/>
    <w:rsid w:val="00BB1F39"/>
    <w:rsid w:val="00BB54ED"/>
    <w:rsid w:val="00BB59E7"/>
    <w:rsid w:val="00BB7A24"/>
    <w:rsid w:val="00BC2954"/>
    <w:rsid w:val="00BC4DFF"/>
    <w:rsid w:val="00BD16EB"/>
    <w:rsid w:val="00BD52B9"/>
    <w:rsid w:val="00BE3840"/>
    <w:rsid w:val="00BF36F7"/>
    <w:rsid w:val="00BF3E03"/>
    <w:rsid w:val="00BF4056"/>
    <w:rsid w:val="00BF4A16"/>
    <w:rsid w:val="00BF4E7E"/>
    <w:rsid w:val="00BF7F47"/>
    <w:rsid w:val="00BF7F51"/>
    <w:rsid w:val="00C001EB"/>
    <w:rsid w:val="00C003B0"/>
    <w:rsid w:val="00C0180B"/>
    <w:rsid w:val="00C1014A"/>
    <w:rsid w:val="00C1027C"/>
    <w:rsid w:val="00C1147D"/>
    <w:rsid w:val="00C1725D"/>
    <w:rsid w:val="00C21973"/>
    <w:rsid w:val="00C22D35"/>
    <w:rsid w:val="00C24D36"/>
    <w:rsid w:val="00C261DB"/>
    <w:rsid w:val="00C26378"/>
    <w:rsid w:val="00C27239"/>
    <w:rsid w:val="00C30BFE"/>
    <w:rsid w:val="00C3278F"/>
    <w:rsid w:val="00C40F17"/>
    <w:rsid w:val="00C4176A"/>
    <w:rsid w:val="00C4204A"/>
    <w:rsid w:val="00C43D85"/>
    <w:rsid w:val="00C44E2A"/>
    <w:rsid w:val="00C5724B"/>
    <w:rsid w:val="00C62823"/>
    <w:rsid w:val="00C6630C"/>
    <w:rsid w:val="00C71608"/>
    <w:rsid w:val="00C76DCC"/>
    <w:rsid w:val="00C83330"/>
    <w:rsid w:val="00C83628"/>
    <w:rsid w:val="00C84A39"/>
    <w:rsid w:val="00C94940"/>
    <w:rsid w:val="00C97B30"/>
    <w:rsid w:val="00CA13E5"/>
    <w:rsid w:val="00CA2AF4"/>
    <w:rsid w:val="00CA328D"/>
    <w:rsid w:val="00CA5BB2"/>
    <w:rsid w:val="00CA6AE8"/>
    <w:rsid w:val="00CA7399"/>
    <w:rsid w:val="00CB3C07"/>
    <w:rsid w:val="00CB46EB"/>
    <w:rsid w:val="00CB481D"/>
    <w:rsid w:val="00CB5BCC"/>
    <w:rsid w:val="00CC6521"/>
    <w:rsid w:val="00CC7CFF"/>
    <w:rsid w:val="00CD3DF7"/>
    <w:rsid w:val="00CD3F2B"/>
    <w:rsid w:val="00CD49EC"/>
    <w:rsid w:val="00CE01D7"/>
    <w:rsid w:val="00CE05F5"/>
    <w:rsid w:val="00CE0F94"/>
    <w:rsid w:val="00CE3005"/>
    <w:rsid w:val="00CE73F3"/>
    <w:rsid w:val="00CE760A"/>
    <w:rsid w:val="00CF08F6"/>
    <w:rsid w:val="00CF3BDE"/>
    <w:rsid w:val="00CF499D"/>
    <w:rsid w:val="00CF4CEA"/>
    <w:rsid w:val="00CF5316"/>
    <w:rsid w:val="00CF65B4"/>
    <w:rsid w:val="00D02F2D"/>
    <w:rsid w:val="00D040E3"/>
    <w:rsid w:val="00D04220"/>
    <w:rsid w:val="00D0793D"/>
    <w:rsid w:val="00D125ED"/>
    <w:rsid w:val="00D14D96"/>
    <w:rsid w:val="00D1737D"/>
    <w:rsid w:val="00D2034B"/>
    <w:rsid w:val="00D21124"/>
    <w:rsid w:val="00D225ED"/>
    <w:rsid w:val="00D22E5B"/>
    <w:rsid w:val="00D24833"/>
    <w:rsid w:val="00D310ED"/>
    <w:rsid w:val="00D325A5"/>
    <w:rsid w:val="00D34EC2"/>
    <w:rsid w:val="00D350B2"/>
    <w:rsid w:val="00D36BF0"/>
    <w:rsid w:val="00D429A0"/>
    <w:rsid w:val="00D469A0"/>
    <w:rsid w:val="00D534BE"/>
    <w:rsid w:val="00D627DA"/>
    <w:rsid w:val="00D64C25"/>
    <w:rsid w:val="00D64E0B"/>
    <w:rsid w:val="00D664D5"/>
    <w:rsid w:val="00D67332"/>
    <w:rsid w:val="00D678B8"/>
    <w:rsid w:val="00D70778"/>
    <w:rsid w:val="00D709B9"/>
    <w:rsid w:val="00D73A1B"/>
    <w:rsid w:val="00D73ABB"/>
    <w:rsid w:val="00D753C3"/>
    <w:rsid w:val="00D96C79"/>
    <w:rsid w:val="00DA612B"/>
    <w:rsid w:val="00DB3155"/>
    <w:rsid w:val="00DB3B9C"/>
    <w:rsid w:val="00DB5445"/>
    <w:rsid w:val="00DC3D18"/>
    <w:rsid w:val="00DE36C8"/>
    <w:rsid w:val="00DE4156"/>
    <w:rsid w:val="00DE68A1"/>
    <w:rsid w:val="00DF58D3"/>
    <w:rsid w:val="00DF5FCA"/>
    <w:rsid w:val="00DF7963"/>
    <w:rsid w:val="00E104C0"/>
    <w:rsid w:val="00E114BB"/>
    <w:rsid w:val="00E123AA"/>
    <w:rsid w:val="00E12E5B"/>
    <w:rsid w:val="00E22ED1"/>
    <w:rsid w:val="00E2397D"/>
    <w:rsid w:val="00E273FC"/>
    <w:rsid w:val="00E355C5"/>
    <w:rsid w:val="00E46EBD"/>
    <w:rsid w:val="00E472B0"/>
    <w:rsid w:val="00E50592"/>
    <w:rsid w:val="00E56AE0"/>
    <w:rsid w:val="00E5788A"/>
    <w:rsid w:val="00E57DA5"/>
    <w:rsid w:val="00E60195"/>
    <w:rsid w:val="00E80296"/>
    <w:rsid w:val="00E84474"/>
    <w:rsid w:val="00E91734"/>
    <w:rsid w:val="00E9298D"/>
    <w:rsid w:val="00E93C2E"/>
    <w:rsid w:val="00E93C8B"/>
    <w:rsid w:val="00E947CF"/>
    <w:rsid w:val="00E95D22"/>
    <w:rsid w:val="00E96EF6"/>
    <w:rsid w:val="00EA0D50"/>
    <w:rsid w:val="00EA6595"/>
    <w:rsid w:val="00EB1C81"/>
    <w:rsid w:val="00EB4F2C"/>
    <w:rsid w:val="00EC070F"/>
    <w:rsid w:val="00EC09F5"/>
    <w:rsid w:val="00EC14D0"/>
    <w:rsid w:val="00EC441C"/>
    <w:rsid w:val="00EC7588"/>
    <w:rsid w:val="00EE1853"/>
    <w:rsid w:val="00EE263E"/>
    <w:rsid w:val="00EE3AEA"/>
    <w:rsid w:val="00EE3CBA"/>
    <w:rsid w:val="00EE57F7"/>
    <w:rsid w:val="00EF32B6"/>
    <w:rsid w:val="00EF478E"/>
    <w:rsid w:val="00EF6DF1"/>
    <w:rsid w:val="00F10888"/>
    <w:rsid w:val="00F1425D"/>
    <w:rsid w:val="00F20241"/>
    <w:rsid w:val="00F23DBB"/>
    <w:rsid w:val="00F25D11"/>
    <w:rsid w:val="00F26935"/>
    <w:rsid w:val="00F34972"/>
    <w:rsid w:val="00F34DC5"/>
    <w:rsid w:val="00F54827"/>
    <w:rsid w:val="00F559E7"/>
    <w:rsid w:val="00F56B17"/>
    <w:rsid w:val="00F5729B"/>
    <w:rsid w:val="00F5777E"/>
    <w:rsid w:val="00F5779C"/>
    <w:rsid w:val="00F64634"/>
    <w:rsid w:val="00F70C37"/>
    <w:rsid w:val="00F7707A"/>
    <w:rsid w:val="00F77C27"/>
    <w:rsid w:val="00F82BDE"/>
    <w:rsid w:val="00F85426"/>
    <w:rsid w:val="00F85F03"/>
    <w:rsid w:val="00F87CF9"/>
    <w:rsid w:val="00F92227"/>
    <w:rsid w:val="00F922C6"/>
    <w:rsid w:val="00F934D3"/>
    <w:rsid w:val="00F940E3"/>
    <w:rsid w:val="00FA7428"/>
    <w:rsid w:val="00FB1429"/>
    <w:rsid w:val="00FB63DD"/>
    <w:rsid w:val="00FC08BE"/>
    <w:rsid w:val="00FC0949"/>
    <w:rsid w:val="00FC656F"/>
    <w:rsid w:val="00FD6101"/>
    <w:rsid w:val="00FE2AC6"/>
    <w:rsid w:val="00FE42D4"/>
    <w:rsid w:val="00FE7020"/>
    <w:rsid w:val="00FF0774"/>
    <w:rsid w:val="00FF23C8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C7A81"/>
  <w15:chartTrackingRefBased/>
  <w15:docId w15:val="{F1A4CE32-323A-4FC2-835B-626D8CC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C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47C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630A3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630A3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630A3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7CF"/>
    <w:rPr>
      <w:rFonts w:ascii="Arial" w:hAnsi="Arial" w:cs="Times New Roman"/>
      <w:b/>
      <w:color w:val="000080"/>
      <w:sz w:val="20"/>
    </w:rPr>
  </w:style>
  <w:style w:type="character" w:customStyle="1" w:styleId="20">
    <w:name w:val="Заголовок 2 Знак"/>
    <w:link w:val="2"/>
    <w:uiPriority w:val="9"/>
    <w:locked/>
    <w:rsid w:val="009630A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"/>
    <w:locked/>
    <w:rsid w:val="009630A3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"/>
    <w:locked/>
    <w:rsid w:val="009630A3"/>
    <w:rPr>
      <w:rFonts w:ascii="Cambria" w:hAnsi="Cambria" w:cs="Times New Roman"/>
      <w:b/>
      <w:i/>
      <w:color w:val="4F81BD"/>
    </w:rPr>
  </w:style>
  <w:style w:type="table" w:styleId="a3">
    <w:name w:val="Table Grid"/>
    <w:basedOn w:val="a1"/>
    <w:uiPriority w:val="59"/>
    <w:rsid w:val="00E94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630A3"/>
    <w:rPr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630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54E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BB54ED"/>
    <w:rPr>
      <w:rFonts w:cs="Times New Roman"/>
      <w:sz w:val="24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BB54E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BB54ED"/>
    <w:rPr>
      <w:rFonts w:cs="Times New Roman"/>
      <w:sz w:val="24"/>
      <w:lang w:val="x-none" w:eastAsia="en-US"/>
    </w:rPr>
  </w:style>
  <w:style w:type="paragraph" w:styleId="aa">
    <w:name w:val="Balloon Text"/>
    <w:basedOn w:val="a"/>
    <w:link w:val="ab"/>
    <w:uiPriority w:val="99"/>
    <w:semiHidden/>
    <w:unhideWhenUsed/>
    <w:rsid w:val="005414CC"/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5414CC"/>
    <w:rPr>
      <w:rFonts w:ascii="Tahoma" w:hAnsi="Tahoma" w:cs="Times New Roman"/>
      <w:sz w:val="16"/>
      <w:lang w:val="x-none" w:eastAsia="en-US"/>
    </w:rPr>
  </w:style>
  <w:style w:type="paragraph" w:styleId="21">
    <w:name w:val="Body Text Indent 2"/>
    <w:basedOn w:val="a"/>
    <w:link w:val="22"/>
    <w:uiPriority w:val="99"/>
    <w:rsid w:val="00884AB8"/>
    <w:pPr>
      <w:ind w:firstLine="709"/>
    </w:pPr>
    <w:rPr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884AB8"/>
    <w:rPr>
      <w:rFonts w:cs="Times New Roman"/>
      <w:sz w:val="24"/>
      <w:lang w:val="x-none" w:eastAsia="en-US"/>
    </w:rPr>
  </w:style>
  <w:style w:type="paragraph" w:styleId="ac">
    <w:name w:val="Body Text Indent"/>
    <w:basedOn w:val="a"/>
    <w:link w:val="ad"/>
    <w:uiPriority w:val="99"/>
    <w:unhideWhenUsed/>
    <w:rsid w:val="00884AB8"/>
    <w:pPr>
      <w:spacing w:after="120"/>
      <w:ind w:left="283"/>
    </w:pPr>
    <w:rPr>
      <w:szCs w:val="20"/>
      <w:lang w:val="x-none"/>
    </w:rPr>
  </w:style>
  <w:style w:type="character" w:customStyle="1" w:styleId="ad">
    <w:name w:val="Основной текст с отступом Знак"/>
    <w:link w:val="ac"/>
    <w:uiPriority w:val="99"/>
    <w:locked/>
    <w:rsid w:val="00884AB8"/>
    <w:rPr>
      <w:rFonts w:cs="Times New Roman"/>
      <w:sz w:val="24"/>
      <w:lang w:val="x-none" w:eastAsia="en-US"/>
    </w:rPr>
  </w:style>
  <w:style w:type="paragraph" w:customStyle="1" w:styleId="ae">
    <w:name w:val="Название"/>
    <w:basedOn w:val="a"/>
    <w:link w:val="af"/>
    <w:uiPriority w:val="10"/>
    <w:qFormat/>
    <w:rsid w:val="003D0804"/>
    <w:pPr>
      <w:jc w:val="center"/>
    </w:pPr>
    <w:rPr>
      <w:b/>
      <w:szCs w:val="20"/>
      <w:lang w:val="x-none"/>
    </w:rPr>
  </w:style>
  <w:style w:type="character" w:customStyle="1" w:styleId="af">
    <w:name w:val="Название Знак"/>
    <w:link w:val="ae"/>
    <w:uiPriority w:val="10"/>
    <w:locked/>
    <w:rsid w:val="003D0804"/>
    <w:rPr>
      <w:rFonts w:cs="Times New Roman"/>
      <w:b/>
      <w:sz w:val="24"/>
      <w:lang w:val="x-none" w:eastAsia="en-US"/>
    </w:rPr>
  </w:style>
  <w:style w:type="paragraph" w:styleId="af0">
    <w:name w:val="Body Text"/>
    <w:basedOn w:val="a"/>
    <w:link w:val="af1"/>
    <w:uiPriority w:val="99"/>
    <w:unhideWhenUsed/>
    <w:rsid w:val="008E0D2E"/>
    <w:pPr>
      <w:spacing w:after="120"/>
    </w:pPr>
    <w:rPr>
      <w:szCs w:val="20"/>
      <w:lang w:val="x-none"/>
    </w:rPr>
  </w:style>
  <w:style w:type="character" w:customStyle="1" w:styleId="af1">
    <w:name w:val="Основной текст Знак"/>
    <w:link w:val="af0"/>
    <w:uiPriority w:val="99"/>
    <w:locked/>
    <w:rsid w:val="008E0D2E"/>
    <w:rPr>
      <w:rFonts w:cs="Times New Roman"/>
      <w:sz w:val="24"/>
      <w:lang w:val="x-none" w:eastAsia="en-US"/>
    </w:rPr>
  </w:style>
  <w:style w:type="character" w:styleId="af2">
    <w:name w:val="Strong"/>
    <w:uiPriority w:val="22"/>
    <w:qFormat/>
    <w:rsid w:val="007B279E"/>
    <w:rPr>
      <w:rFonts w:cs="Times New Roman"/>
      <w:b/>
    </w:rPr>
  </w:style>
  <w:style w:type="character" w:customStyle="1" w:styleId="Subst">
    <w:name w:val="Subst"/>
    <w:uiPriority w:val="99"/>
    <w:rsid w:val="005C7084"/>
    <w:rPr>
      <w:b/>
      <w:i/>
    </w:rPr>
  </w:style>
  <w:style w:type="paragraph" w:customStyle="1" w:styleId="SubHeading">
    <w:name w:val="Sub Heading"/>
    <w:uiPriority w:val="99"/>
    <w:rsid w:val="008F54BF"/>
    <w:pPr>
      <w:widowControl w:val="0"/>
      <w:autoSpaceDE w:val="0"/>
      <w:autoSpaceDN w:val="0"/>
      <w:adjustRightInd w:val="0"/>
      <w:spacing w:before="240" w:after="40"/>
    </w:pPr>
    <w:rPr>
      <w:rFonts w:eastAsia="SimSun"/>
      <w:lang w:eastAsia="zh-CN"/>
    </w:rPr>
  </w:style>
  <w:style w:type="paragraph" w:customStyle="1" w:styleId="ThinDelim">
    <w:name w:val="Thin Delim"/>
    <w:uiPriority w:val="99"/>
    <w:rsid w:val="008F54BF"/>
    <w:pPr>
      <w:widowControl w:val="0"/>
      <w:autoSpaceDE w:val="0"/>
      <w:autoSpaceDN w:val="0"/>
      <w:adjustRightInd w:val="0"/>
    </w:pPr>
    <w:rPr>
      <w:rFonts w:eastAsia="SimSun"/>
      <w:sz w:val="16"/>
      <w:szCs w:val="16"/>
      <w:lang w:eastAsia="zh-CN"/>
    </w:rPr>
  </w:style>
  <w:style w:type="character" w:styleId="af3">
    <w:name w:val="Hyperlink"/>
    <w:uiPriority w:val="99"/>
    <w:unhideWhenUsed/>
    <w:rsid w:val="00C62823"/>
    <w:rPr>
      <w:color w:val="000000"/>
      <w:u w:val="single"/>
    </w:rPr>
  </w:style>
  <w:style w:type="paragraph" w:styleId="af4">
    <w:name w:val="Normal (Web)"/>
    <w:basedOn w:val="a"/>
    <w:unhideWhenUsed/>
    <w:rsid w:val="00C62823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uiPriority w:val="20"/>
    <w:qFormat/>
    <w:rsid w:val="00C62823"/>
    <w:rPr>
      <w:i/>
      <w:iCs/>
    </w:rPr>
  </w:style>
  <w:style w:type="character" w:styleId="af6">
    <w:name w:val="FollowedHyperlink"/>
    <w:uiPriority w:val="99"/>
    <w:semiHidden/>
    <w:unhideWhenUsed/>
    <w:rsid w:val="005504CA"/>
    <w:rPr>
      <w:color w:val="954F72"/>
      <w:u w:val="single"/>
    </w:rPr>
  </w:style>
  <w:style w:type="character" w:styleId="af7">
    <w:name w:val="annotation reference"/>
    <w:uiPriority w:val="99"/>
    <w:semiHidden/>
    <w:unhideWhenUsed/>
    <w:rsid w:val="0046491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6491C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46491C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6491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46491C"/>
    <w:rPr>
      <w:b/>
      <w:bCs/>
      <w:lang w:eastAsia="en-US"/>
    </w:rPr>
  </w:style>
  <w:style w:type="paragraph" w:styleId="afc">
    <w:name w:val="TOC Heading"/>
    <w:basedOn w:val="1"/>
    <w:next w:val="a"/>
    <w:uiPriority w:val="39"/>
    <w:unhideWhenUsed/>
    <w:qFormat/>
    <w:rsid w:val="0046491C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3B1AA6"/>
    <w:pPr>
      <w:tabs>
        <w:tab w:val="left" w:pos="709"/>
        <w:tab w:val="right" w:leader="dot" w:pos="9909"/>
      </w:tabs>
      <w:ind w:left="284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6491C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110F4"/>
    <w:pPr>
      <w:spacing w:after="100" w:line="259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Pa1">
    <w:name w:val="Pa1"/>
    <w:basedOn w:val="a"/>
    <w:next w:val="a"/>
    <w:uiPriority w:val="99"/>
    <w:rsid w:val="009B3C67"/>
    <w:pPr>
      <w:autoSpaceDE w:val="0"/>
      <w:autoSpaceDN w:val="0"/>
      <w:adjustRightInd w:val="0"/>
      <w:spacing w:line="241" w:lineRule="atLeast"/>
    </w:pPr>
    <w:rPr>
      <w:rFonts w:ascii="PF Handbook Pro Black" w:hAnsi="PF Handbook Pro Black"/>
      <w:lang w:eastAsia="ru-RU"/>
    </w:rPr>
  </w:style>
  <w:style w:type="character" w:customStyle="1" w:styleId="A20">
    <w:name w:val="A2"/>
    <w:uiPriority w:val="99"/>
    <w:rsid w:val="009B3C67"/>
    <w:rPr>
      <w:b/>
      <w:color w:val="000000"/>
      <w:sz w:val="26"/>
    </w:rPr>
  </w:style>
  <w:style w:type="paragraph" w:customStyle="1" w:styleId="Default">
    <w:name w:val="Default"/>
    <w:rsid w:val="009B3C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9B3C67"/>
    <w:pPr>
      <w:spacing w:line="241" w:lineRule="atLeast"/>
    </w:pPr>
    <w:rPr>
      <w:rFonts w:ascii="PF Handbook Pro Black" w:hAnsi="PF Handbook Pro Black"/>
      <w:color w:val="auto"/>
    </w:rPr>
  </w:style>
  <w:style w:type="character" w:customStyle="1" w:styleId="A200">
    <w:name w:val="A20"/>
    <w:uiPriority w:val="99"/>
    <w:rsid w:val="009B3C67"/>
    <w:rPr>
      <w:rFonts w:ascii="PF Handbook Pro Thin" w:hAnsi="PF Handbook Pro Thi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351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68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359">
          <w:marLeft w:val="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8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952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719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2887">
          <w:marLeft w:val="1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7293">
          <w:marLeft w:val="1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7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91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28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6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0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5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4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6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758">
          <w:marLeft w:val="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88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osrealt.ru/Ekaterinburg/kommercheskaja/arenda/?t=of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alt.ru/Ekaterinburg/kommercheskaja/prodam/?t=plosh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alt.ru/Ekaterinburg/kommercheskaja/prodam/?t=of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alt.ru/Ekaterinburg/uchastok/prod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osrealt.ru/Ekaterinburg/kommercheskaja/arenda/?t=plos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053A-829E-4BA6-A117-9D79548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Предварительно утвержден решением совета директоров Закрытого акционерного общества «Русская медь», протокол № ___ от «___» _________ 2009 года</vt:lpstr>
    </vt:vector>
  </TitlesOfParts>
  <Company>Company</Company>
  <LinksUpToDate>false</LinksUpToDate>
  <CharactersWithSpaces>24016</CharactersWithSpaces>
  <SharedDoc>false</SharedDoc>
  <HLinks>
    <vt:vector size="96" baseType="variant">
      <vt:variant>
        <vt:i4>2031619</vt:i4>
      </vt:variant>
      <vt:variant>
        <vt:i4>78</vt:i4>
      </vt:variant>
      <vt:variant>
        <vt:i4>0</vt:i4>
      </vt:variant>
      <vt:variant>
        <vt:i4>5</vt:i4>
      </vt:variant>
      <vt:variant>
        <vt:lpwstr>https://rosrealt.ru/Ekaterinburg/kommercheskaja/arenda/?t=ploshad</vt:lpwstr>
      </vt:variant>
      <vt:variant>
        <vt:lpwstr/>
      </vt:variant>
      <vt:variant>
        <vt:i4>7602290</vt:i4>
      </vt:variant>
      <vt:variant>
        <vt:i4>75</vt:i4>
      </vt:variant>
      <vt:variant>
        <vt:i4>0</vt:i4>
      </vt:variant>
      <vt:variant>
        <vt:i4>5</vt:i4>
      </vt:variant>
      <vt:variant>
        <vt:lpwstr>https://rosrealt.ru/Ekaterinburg/kommercheskaja/arenda/?t=ofis</vt:lpwstr>
      </vt:variant>
      <vt:variant>
        <vt:lpwstr/>
      </vt:variant>
      <vt:variant>
        <vt:i4>1638429</vt:i4>
      </vt:variant>
      <vt:variant>
        <vt:i4>72</vt:i4>
      </vt:variant>
      <vt:variant>
        <vt:i4>0</vt:i4>
      </vt:variant>
      <vt:variant>
        <vt:i4>5</vt:i4>
      </vt:variant>
      <vt:variant>
        <vt:lpwstr>https://rosrealt.ru/Ekaterinburg/kommercheskaja/prodam/?t=ploshad</vt:lpwstr>
      </vt:variant>
      <vt:variant>
        <vt:lpwstr/>
      </vt:variant>
      <vt:variant>
        <vt:i4>7471212</vt:i4>
      </vt:variant>
      <vt:variant>
        <vt:i4>69</vt:i4>
      </vt:variant>
      <vt:variant>
        <vt:i4>0</vt:i4>
      </vt:variant>
      <vt:variant>
        <vt:i4>5</vt:i4>
      </vt:variant>
      <vt:variant>
        <vt:lpwstr>https://rosrealt.ru/Ekaterinburg/kommercheskaja/prodam/?t=ofis</vt:lpwstr>
      </vt:variant>
      <vt:variant>
        <vt:lpwstr/>
      </vt:variant>
      <vt:variant>
        <vt:i4>71</vt:i4>
      </vt:variant>
      <vt:variant>
        <vt:i4>66</vt:i4>
      </vt:variant>
      <vt:variant>
        <vt:i4>0</vt:i4>
      </vt:variant>
      <vt:variant>
        <vt:i4>5</vt:i4>
      </vt:variant>
      <vt:variant>
        <vt:lpwstr>https://rosrealt.ru/Ekaterinburg/uchastok/prodam</vt:lpwstr>
      </vt:variant>
      <vt:variant>
        <vt:lpwstr/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_Toc67038652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_Toc67038650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_Toc67038649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_Toc67038648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_Toc67038647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_Toc67038646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_Toc67038644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_Toc67038643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_Toc67038642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_Toc67038641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_Toc67038637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 утвержден решением совета директоров Закрытого акционерного общества «Русская медь», протокол № ___ от «___» _________ 2009 года</dc:title>
  <dc:subject/>
  <dc:creator>Васькин А.Н. 35050. 9-67-74</dc:creator>
  <cp:keywords/>
  <cp:lastModifiedBy>Окунева Анна Валерьевна</cp:lastModifiedBy>
  <cp:revision>30</cp:revision>
  <cp:lastPrinted>2018-04-10T05:50:00Z</cp:lastPrinted>
  <dcterms:created xsi:type="dcterms:W3CDTF">2022-04-04T09:39:00Z</dcterms:created>
  <dcterms:modified xsi:type="dcterms:W3CDTF">2023-01-30T09:52:00Z</dcterms:modified>
</cp:coreProperties>
</file>